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06d1_6k.htm"/>
      <w:bookmarkStart w:id="1" w:name="kstm262780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65"/>
        <w:gridCol w:w="60"/>
        <w:gridCol w:w="306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780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hyperlink w:anchor="tm2627806d1_ex99-1.htm">
              <w:r>
                <w:rPr>
                  <w:rStyle w:val="InternetLink"/>
                  <w:rFonts w:ascii="Times New Roman;Times;Serif" w:hAnsi="Times New Roman;Times;Serif"/>
                  <w:sz w:val="20"/>
                </w:rPr>
                <w:t>Press Release dated October 19,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806d1_ex99-1.htm"/>
      <w:bookmarkStart w:id="3" w:name="kstm262780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478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4115"/>
        <w:gridCol w:w="2420"/>
      </w:tblGrid>
      <w:tr>
        <w:trPr/>
        <w:tc>
          <w:tcPr>
            <w:tcW w:w="4115" w:type="dxa"/>
            <w:tcBorders/>
            <w:vAlign w:val="center"/>
          </w:tcPr>
          <w:p>
            <w:pPr>
              <w:pStyle w:val="TableContents"/>
              <w:bidi w:val="0"/>
              <w:spacing w:before="0" w:after="283"/>
              <w:jc w:val="both"/>
              <w:rPr>
                <w:b/>
              </w:rPr>
            </w:pPr>
            <w:r>
              <w:rPr>
                <w:b/>
              </w:rPr>
              <w:t>Leuven – 19 October 2026 – 22h00 CET</w:t>
            </w:r>
          </w:p>
        </w:tc>
        <w:tc>
          <w:tcPr>
            <w:tcW w:w="2420" w:type="dxa"/>
            <w:tcBorders/>
            <w:vAlign w:val="center"/>
          </w:tcPr>
          <w:p>
            <w:pPr>
              <w:pStyle w:val="TableContents"/>
              <w:bidi w:val="0"/>
              <w:spacing w:before="0" w:after="283"/>
              <w:jc w:val="both"/>
              <w:rPr>
                <w:b/>
              </w:rPr>
            </w:pPr>
            <w:r>
              <w:rPr>
                <w:b/>
              </w:rPr>
              <w:t>Regulated information</w:t>
            </w:r>
            <w:r>
              <w:rPr>
                <w:b/>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October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106,794 Materialise shares in the period from 12 October 2026 up to and including 16 October 2026. The shares were repurchased at an average price of 7.24 EUR per share for a total consideration of 772,705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106,794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28" w:type="dxa"/>
          <w:right w:w="0" w:type="dxa"/>
        </w:tblCellMar>
      </w:tblPr>
      <w:tblGrid>
        <w:gridCol w:w="1475"/>
        <w:gridCol w:w="60"/>
        <w:gridCol w:w="860"/>
        <w:gridCol w:w="60"/>
        <w:gridCol w:w="73"/>
        <w:gridCol w:w="846"/>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 xml:space="preserve">amount </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amount </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12-Oct-2026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13-Oct-2026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14-Oct-2026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15-Oct-2026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16-Oct-2026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106,794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772,705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866,786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1,732,815 shares for a total amount of 9,747,877 EUR (11,240,989 USD) under the share buy-back program. This corresponds to 2.9% of the total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1,732,815 of its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4787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7875"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3288</Characters>
  <CharactersWithSpaces>3957</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