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378d1_6k.htm"/>
      <w:bookmarkStart w:id="1" w:name="kstm2625378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001-36515</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Materialise NV</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Technologielaan 15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3001 Leuven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Belgium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99.1 hereto is a copy of a press release regarding Materialise NV’s ADS Buyback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665"/>
        <w:gridCol w:w="60"/>
        <w:gridCol w:w="3275"/>
      </w:tblGrid>
      <w:tr>
        <w:trPr/>
        <w:tc>
          <w:tcPr>
            <w:tcW w:w="6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625378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hyperlink w:anchor="tm2625378d1_ex99-1.htm">
              <w:r>
                <w:rPr>
                  <w:rStyle w:val="InternetLink"/>
                  <w:rFonts w:ascii="Times New Roman;Times;Serif" w:hAnsi="Times New Roman;Times;Serif"/>
                  <w:sz w:val="20"/>
                </w:rPr>
                <w:t>Press Release dated September 14,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560"/>
        <w:gridCol w:w="2165"/>
        <w:gridCol w:w="75"/>
      </w:tblGrid>
      <w:tr>
        <w:trPr/>
        <w:tc>
          <w:tcPr>
            <w:tcW w:w="27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MATERIALISE NV</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Brigitte de Vet-Veithen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Brigitte de Vet-Veithen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 Vet Management BV</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625378d1_ex99-1.htm"/>
      <w:bookmarkStart w:id="3" w:name="kstm2625378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right"/>
        <w:rPr/>
      </w:pPr>
      <w:r>
        <w:rPr/>
        <w:drawing>
          <wp:inline distT="0" distB="0" distL="0" distR="0">
            <wp:extent cx="1001395" cy="3930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1395" cy="39306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MATERIALISE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SHARE-BUY BACK PROGRAM</w:t>
      </w:r>
    </w:p>
    <w:p>
      <w:pPr>
        <w:pStyle w:val="TextBody"/>
        <w:bidi w:val="0"/>
        <w:spacing w:before="0" w:after="0"/>
        <w:ind w:left="0" w:right="0" w:hanging="0"/>
        <w:jc w:val="center"/>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3650"/>
        <w:gridCol w:w="2045"/>
      </w:tblGrid>
      <w:tr>
        <w:trPr/>
        <w:tc>
          <w:tcPr>
            <w:tcW w:w="3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Leuven – 14 September 2026 – 22h00 CET</w:t>
            </w:r>
          </w:p>
        </w:tc>
        <w:tc>
          <w:tcPr>
            <w:tcW w:w="20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Regulated information</w:t>
            </w:r>
            <w:r>
              <w:rPr>
                <w:rFonts w:ascii="Times New Roman;Times;Serif" w:hAnsi="Times New Roman;Times;Serif"/>
                <w:b/>
                <w:position w:val="7"/>
                <w:sz w:val="16"/>
                <w:sz w:val="20"/>
              </w:rPr>
              <w:t>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on the progress of its share buy-back program announced on 30 October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September 2026</w:t>
      </w:r>
      <w:r>
        <w:rPr>
          <w:rFonts w:ascii="Times New Roman;Times;Serif" w:hAnsi="Times New Roman;Times;Serif"/>
          <w:b w:val="false"/>
          <w:i w:val="false"/>
          <w:caps w:val="false"/>
          <w:smallCaps w:val="false"/>
          <w:sz w:val="20"/>
        </w:rPr>
        <w:t xml:space="preserve"> – Materialise NV (Euronext: MTLS) (Nasdaq: MTLS) (“Materialise”) (“the Company”) hereby discloses certain information in relation to its 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the purchase of 43,345 Materialise shares in the period from 7 September 2026 up to and including 11 September 2026. The shares were repurchased at an average price of 6.44 EUR per share for a total consideration of 279,309 EUR.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43,345 shares were repurchased through the central order book of the following exchanges:</w:t>
      </w:r>
    </w:p>
    <w:p>
      <w:pPr>
        <w:pStyle w:val="TextBody"/>
        <w:bidi w:val="0"/>
        <w:spacing w:before="0" w:after="0"/>
        <w:ind w:left="0" w:right="0" w:hanging="0"/>
        <w:jc w:val="left"/>
        <w:rPr>
          <w:caps w:val="false"/>
          <w:smallCaps w:val="false"/>
        </w:rPr>
      </w:pPr>
      <w:r>
        <w:rPr>
          <w:caps w:val="false"/>
          <w:smallCaps w:val="false"/>
        </w:rPr>
        <w:t> </w:t>
      </w:r>
    </w:p>
    <w:tbl>
      <w:tblPr>
        <w:tblW w:w="6013" w:type="dxa"/>
        <w:jc w:val="left"/>
        <w:tblInd w:w="0" w:type="dxa"/>
        <w:tblLayout w:type="fixed"/>
        <w:tblCellMar>
          <w:top w:w="0" w:type="dxa"/>
          <w:left w:w="0" w:type="dxa"/>
          <w:bottom w:w="28" w:type="dxa"/>
          <w:right w:w="0" w:type="dxa"/>
        </w:tblCellMar>
      </w:tblPr>
      <w:tblGrid>
        <w:gridCol w:w="1085"/>
        <w:gridCol w:w="60"/>
        <w:gridCol w:w="860"/>
        <w:gridCol w:w="60"/>
        <w:gridCol w:w="60"/>
        <w:gridCol w:w="84"/>
        <w:gridCol w:w="835"/>
        <w:gridCol w:w="60"/>
        <w:gridCol w:w="60"/>
        <w:gridCol w:w="60"/>
        <w:gridCol w:w="695"/>
        <w:gridCol w:w="60"/>
        <w:gridCol w:w="60"/>
        <w:gridCol w:w="60"/>
        <w:gridCol w:w="695"/>
        <w:gridCol w:w="60"/>
        <w:gridCol w:w="60"/>
        <w:gridCol w:w="138"/>
        <w:gridCol w:w="886"/>
        <w:gridCol w:w="75"/>
      </w:tblGrid>
      <w:tr>
        <w:trPr/>
        <w:tc>
          <w:tcPr>
            <w:tcW w:w="10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w:t>
              <w:br/>
              <w:t>repurchase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amount</w:t>
              <w:br/>
              <w:t>(EUR)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amount</w:t>
              <w:br/>
              <w:t>(USD)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price (EUR)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07-Sep-2026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08-Sep-2026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25,988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30,182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09-Sep-2026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109,597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127,702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10-Sep-2026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77,395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89,902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11-Sep-2026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76,890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of the</w:t>
              <w:br/>
              <w:t>week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43,345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279,309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324,676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were repurchased through cross trades or block trades.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start of the share buy-back program on the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January 2026, Materialise has bought back 1,323,060 shares for a total amount of 6,745,706 EUR (7,857,041 USD) under the share buy-back program. This corresponds to 2.2% of the total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currently holds 1,323,060 of its own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overview relating to the share buy-back program is available on </w:t>
      </w:r>
      <w:r>
        <w:rPr>
          <w:rFonts w:ascii="Times New Roman;Times;Serif" w:hAnsi="Times New Roman;Times;Serif"/>
          <w:b w:val="false"/>
          <w:i w:val="false"/>
          <w:caps w:val="false"/>
          <w:smallCaps w:val="false"/>
          <w:sz w:val="20"/>
          <w:u w:val="single"/>
        </w:rPr>
        <w:t>https://investors.materialise.com/</w:t>
      </w:r>
      <w:r>
        <w:rPr>
          <w:rFonts w:ascii="Times New Roman;Times;Serif" w:hAnsi="Times New Roman;Times;Serif"/>
          <w:b w:val="false"/>
          <w:i w:val="false"/>
          <w:caps w:val="false"/>
          <w:smallCaps w:val="false"/>
          <w:sz w:val="20"/>
        </w:rPr>
        <w:t xml:space="preserve"> and will be updated on a weekly basis.</w:t>
      </w:r>
    </w:p>
    <w:p>
      <w:pPr>
        <w:pStyle w:val="TextBody"/>
        <w:bidi w:val="0"/>
        <w:spacing w:before="0" w:after="0"/>
        <w:ind w:left="680" w:right="0" w:hanging="680"/>
        <w:jc w:val="both"/>
        <w:rPr>
          <w:caps w:val="false"/>
          <w:smallCaps w:val="false"/>
        </w:rPr>
      </w:pPr>
      <w:r>
        <w:rPr>
          <w:caps w:val="false"/>
          <w:smallCaps w:val="false"/>
        </w:rPr>
        <w:t> </w:t>
      </w:r>
    </w:p>
    <w:p>
      <w:pPr>
        <w:pStyle w:val="TextBody"/>
        <w:bidi w:val="0"/>
        <w:ind w:left="680" w:right="0" w:hanging="68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both"/>
              <w:rPr/>
            </w:pPr>
            <w:r>
              <w:rPr/>
              <w:t>The enclosed information constitutes regulated information as defined in the Belgian Royal Decree of 14 November 2007 regarding the duties of issuers of financial instruments which have been admitted for trading on a regulated market.</w:t>
            </w:r>
          </w:p>
        </w:tc>
      </w:tr>
    </w:tbl>
    <w:p>
      <w:pPr>
        <w:pStyle w:val="TextBody"/>
        <w:bidi w:val="0"/>
        <w:spacing w:before="0" w:after="0"/>
        <w:ind w:left="680" w:right="0" w:hanging="68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680" w:right="0" w:hanging="680"/>
        <w:jc w:val="both"/>
        <w:rPr>
          <w:caps w:val="false"/>
          <w:smallCaps w:val="false"/>
        </w:rPr>
      </w:pPr>
      <w:r>
        <w:rPr>
          <w:caps w:val="false"/>
          <w:smallCaps w:val="false"/>
        </w:rPr>
        <w:t> </w:t>
      </w:r>
    </w:p>
    <w:p>
      <w:pPr>
        <w:pStyle w:val="TextBody"/>
        <w:bidi w:val="0"/>
        <w:jc w:val="right"/>
        <w:rPr/>
      </w:pPr>
      <w:r>
        <w:rPr/>
        <w:drawing>
          <wp:inline distT="0" distB="0" distL="0" distR="0">
            <wp:extent cx="1001395" cy="3930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1395" cy="393065"/>
                    </a:xfrm>
                    <a:prstGeom prst="rect">
                      <a:avLst/>
                    </a:prstGeom>
                  </pic:spPr>
                </pic:pic>
              </a:graphicData>
            </a:graphic>
          </wp:inline>
        </w:drawing>
      </w:r>
      <w:r>
        <w:rPr/>
        <w:t> </w:t>
      </w:r>
    </w:p>
    <w:p>
      <w:pPr>
        <w:pStyle w:val="TextBody"/>
        <w:bidi w:val="0"/>
        <w:spacing w:before="0" w:after="0"/>
        <w:ind w:left="680" w:right="0" w:hanging="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Materialise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3276</Characters>
  <CharactersWithSpaces>3954</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