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164465</wp:posOffset>
            </wp:positionV>
            <wp:extent cx="2408555" cy="986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85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b w:val="1"/>
          <w:bCs w:val="1"/>
          <w:color w:val="auto"/>
        </w:rPr>
        <w:t>Leuven – 8 June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 June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79,318 Materialise shares in the period from 1 June 2026 up to and including 5 June 2026. The shares were repurchased at an average price of 5.72 EUR per share for a total consideration of 454,021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79,318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r>
      <w:tr>
        <w:trPr>
          <w:trHeight w:val="238"/>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of repurchase</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10"/>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1-Jun-2026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2-Jun-2026</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3-Jun-2026</w:t>
            </w:r>
          </w:p>
        </w:tc>
        <w:tc>
          <w:tcPr>
            <w:tcW w:w="1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25,085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143,024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166,108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9"/>
                <w:szCs w:val="19"/>
                <w:color w:val="auto"/>
              </w:rPr>
            </w:pPr>
          </w:p>
        </w:tc>
      </w:tr>
      <w:tr>
        <w:trPr>
          <w:trHeight w:val="230"/>
        </w:trPr>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4-Jun-2026</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16,033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94,092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109,523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5-Jun-2026</w:t>
            </w:r>
          </w:p>
        </w:tc>
        <w:tc>
          <w:tcPr>
            <w:tcW w:w="1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37,100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210,444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244,956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9"/>
                <w:szCs w:val="19"/>
                <w:color w:val="auto"/>
              </w:rPr>
            </w:pPr>
          </w:p>
        </w:tc>
      </w:tr>
      <w:tr>
        <w:trPr>
          <w:trHeight w:val="223"/>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of the week</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79,318</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454,021</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528,114</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887,440 shares for a total amount of 4,144,651 EUR (4,866,424 USD) under the share buy-back program. This corresponds to 1.5%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887,440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20" w:hanging="312"/>
        <w:spacing w:after="0" w:line="195" w:lineRule="auto"/>
        <w:tabs>
          <w:tab w:leader="none" w:pos="3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4931410</wp:posOffset>
            </wp:positionH>
            <wp:positionV relativeFrom="page">
              <wp:posOffset>586105</wp:posOffset>
            </wp:positionV>
            <wp:extent cx="2408555" cy="986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2026-06-08T15:25:37Z</dcterms:created>
  <dcterms:modified xsi:type="dcterms:W3CDTF">2026-06-08T15:25:37Z</dcterms:modified>
</cp:coreProperties>
</file>