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34d3_6k.htm"/>
      <w:bookmarkStart w:id="1" w:name="kstm2624134d3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Technologielaan 15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3001 Leuven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is incorporated by reference into the registrant’s Registration Statement on Form F-3 (File No. 333-213649).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and Half-Year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the context, references to “Materialise,” “Company,” “we,” “us,” and “our” are 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NV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second quarter of 2026 increased by 8.1% to 70,073 kEUR from 64,831 kEUR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Medical segment increased 12.2% to 36,873 kEUR for the second quarter of 2026 compared to 32,850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Software segment decreased 2.7% to 9,601 kEUR for the second quarter of 2026 from 9,872 kEUR for the same quarter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Manufacturing segment increased 6.7% to 23,597 kEUR for the second quarter of 2026 from 22,109 kEUR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5.3% to 39,776 kEUR for the second quarter of 2026 compared to 37,778 kEUR for the same period last year, while gross profit as a percentage of revenue ended at 56.8% compared to 58.3%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sales and marketing (“S&amp;M”), and general and administrative (“G&amp;A”) expenses increased, in the aggregate, by 3.9% to 37,758 kEUR for the second quarter of 2026 from 36,334 kEUR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operating income was 766 kEUR compared to 1,286 kEUR for the second quarter of 2025. Net operating income in the second quarter of 2026 includes non-recurring charges of 689 kEUR from the impairment of tangible and intangible assets related to the previously reported transfer of its eyewear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 remained fairly stable at 2,785 kEUR compared to 2,730 kEUR for the second quarter of 2025, while net financial result was 242 kEUR, compared to (3,052) kEUR for the second quarter of 2025 (the latter being significantly impacted by unfavorable foreign exchange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of 2026 contained net tax benefits of 304 kEUR, compared to net tax benefits of 521 kEUR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net profit for the second quarter of 2026 increased sharply to 3,331 kEUR, compared to 199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for the second quarter of 2026 amounted to 8,146 kEUR compared to (27) kEUR for the same period in 2025. Total cash used for capital expenditures for the second quarter of 2026 amounted to 1,975 kEUR and free cash flow after operating and investing activities was 5,625 kEUR.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 increased by 26.9% to 3,880 kEUR for the second quarter of 2026 compared to 3,058 kEUR for the 2025 period. The Adjusted EBIT margin (Adjusted EBIT divided by total revenue) for the second quarter of 2026 was 5.5%, compared to 4.7%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second quarter of 2026 increased by 15.7% to 9,593 kEUR compared to 8,288 kEUR for the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Medical segment increased 7.7% to 11,553 kEUR for the second quarter of 2026 compared to 10,728 kEUR, while the Adjusted EBITDA margin for the segment (segment Adjusted EBITDA divided by segment revenue) was 31.3% compared to 32.7%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Software segment decreased to 981 kEUR from 1,373 kEUR, while the Adjusted EBITDA margin for the segment was 10.2% compared to 13.9% for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Manufacturing segment improved to (285) kEUR compared to (807) kEUR for the same period in 2025, while the Adjusted EBITDA margin for the segment was (1.2)% compared to (3.6)%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Half-Year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first half of 2026 increased by 3.9% to 136,349 kEUR, compared to 131,210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Medical segment increased by 9.6% to 70,039 kEUR for the first half of 2026, compared to 63,928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Software segment decreased 2.1% to 19,242 kEUR for the first half of 2026 compared to 19,647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Materialise Manufacturing segment decreased 1.2% to 47,067 kEUR for the first half of 2026 from 47,635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gross profit increased 4.3% to 77,670 kEUR from 74,502 kEUR in last year’s first half. Gross profit as a percentage of revenue increased to 57.0%, compared to 56.8%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increased by 7.4% to 24,203 kEUR in the first half of 2026 reflecting higher investments in our Materialise Medical and Materialise Software segments. Other operational expenses, including sales and marketing ("S&amp;M") and general and administrative ("G&amp;A") expenses, remained stable in aggregate at 50,268 kEUR for the first half of 2026, compared to 50,311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operating income was 1,676 kEUR compared to 1,646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 increased to 4,875 kEUR for the first half of 2026 compared to 3,303 kEUR in the same period of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result amounted to 634 kEUR compared to (3,927)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amounted to (358) kEUR compared to 287 kEUR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net profit amounted to 5,152 kEUR for the first half of 2026 compared to a net loss of (337) kEUR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for the first half of 2026 increased to 15,060 kEUR compared to 9,686 kEUR for the first half of 2025. Total capital expenditures for the first half of 2026 amounted to 3,445 kEUR compared to 6,561 kEUR for the first half of 2025. Free cash flow, after operating and investing activities, for the first half of 2026 amounted to 11,368 kEUR.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we held cash and cash equivalents of 133,735 kEUR compared to 133,918 kEUR at December 31, 2025. Gross debt decreased to 59,521 kEUR, compared to 63,113 kEUR at December 31, 2025. As a result, our net cash position increased by 3,409 kEUR to 74,214 kEUR compared to 70,805 kEUR as of December 31, 2025. At the end of the second quarter of 2026, Materialise had bought back 1,070,797 own shares for a total amount (excluding transaction costs) of 5,212 kEUR (6,091 kUSD) under its previously announced share buy-back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shareholders' equity at June 30, 2026 increased to 256,268 kEUR compared to 255,482 kEUR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 for the first half of 2026 increased by 71.4% to 6,351 kEUR, up from 3,703 kEUR for the corresponding period in 2025. The Adjusted EBIT margin for the first half of 2026 increased to 4.7%, compared to 2.8% for the same period in 2025. Adjusted EBITDA for the first half of 2026 increased by 22.2% to 17,642 kEUR, compared to 14,434 kEUR for the same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Medical segment increased by 5.1% to 20,787 kEUR from 19,775 kEUR. Adjusted EBITDA margin for the segment ended at 29.7% in the first half of 2026 compared to 30.9% for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Software segment increased by 6.7% to 2,103 kEUR from 1,971 kEUR. Adjusted EBITDA margin for the segment improved to 10.9% in the first half of 2026, compared to 10.0%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our Materialise Manufacturing segment improved to (4) kEUR compared to (1,185) kEUR. The Adjusted EBITDA margin for the segment was (0.0)% in the first half of 2026, compared to (2.5)% in the first half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uses EBIT, EBITDA, Adjusted EBIT and Adjusted EBITDA as supplemental financial measures of its financial performance, including for purposes of monitoring compliance with financial covenants, supporting discussions with financing institutions, and meeting reporting requirements to our banks. EBIT is calculated as net profit plus income taxes, financial expenses (less financial income)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Management believes these non-IFRS measures to be important measures as they exclude the effects of items which primarily reflect the impact of financing decisions and, in the case of EBITDA and Adjusted EBITDA, long term investment, rather than the performance of the company’s day-to-day operations. The company also uses segment Adjusted EBITDA and segment Adjusted EBITDA margin to evaluate the performance of its three business segments. As compared to net profit, these measures are limited in that they do not reflect the cash requirements necessary to service interest or principal payments on the company’s indebtedness and, in the case of EBITDA and Adjusted EBITDA, these measures are further limited in that they do not reflect the periodic costs of certain capitalized tangible and intangible assets used in generating revenues in the company’s business, or the changes associated with impairments. Management evaluates such items through other financial measures such as financial expenses, capital expenditures and cash flow provided by operating activities. The company believes that these measurements are useful to measure a company’s ability to grow or as a valuation measurement. The company’s calculation of EBIT, EBITDA, Adjusted EBIT and Adjusted EBITDA may not be comparable to similarly titled measures reported by other companies. EBIT, EBITDA, Adjusted EBIT and Adjusted EBITDA should not be considered as alternatives to net profit or any other performance measure derived in accordance with IFRS. The company’s presentation of EBIT, EBITDA, Adjusted EBIT and Adjusted EBITDA should not be construed to imply that its future results will be unaffected by unusual or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document contains translations of certain euro amounts into U.S. dollars at specified rates solely for the convenience of readers. Unless otherwise noted, all translations from euros to U.S. dollars in this document were made at a rate of EUR 1.00 to USD 1.1394, the reference rate of the European Central Bank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NV incorporates more than three decades of 3D printing experience into a range of software solutions and 3D printing services that empower sustainable 3D printing applications. Our open, secure, and innovative end-to-end solutions enable flexible industrial manufacturing and mass personalization in various industries — including healthcare, automotive, aerospace, art and design, wearables, and consumer goods. Headquartered in Belgium and with branches worldwide, Materialise NV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income statements (Unaudited)</w:t>
      </w:r>
    </w:p>
    <w:p>
      <w:pPr>
        <w:pStyle w:val="TextBody"/>
        <w:bidi w:val="0"/>
        <w:spacing w:before="0" w:after="0"/>
        <w:ind w:left="0" w:right="0" w:hanging="0"/>
        <w:jc w:val="left"/>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4595"/>
        <w:gridCol w:w="60"/>
        <w:gridCol w:w="60"/>
        <w:gridCol w:w="650"/>
        <w:gridCol w:w="185"/>
        <w:gridCol w:w="60"/>
        <w:gridCol w:w="60"/>
        <w:gridCol w:w="650"/>
        <w:gridCol w:w="185"/>
        <w:gridCol w:w="60"/>
        <w:gridCol w:w="60"/>
        <w:gridCol w:w="650"/>
        <w:gridCol w:w="185"/>
        <w:gridCol w:w="60"/>
        <w:gridCol w:w="70"/>
        <w:gridCol w:w="815"/>
        <w:gridCol w:w="217"/>
        <w:gridCol w:w="70"/>
        <w:gridCol w:w="70"/>
        <w:gridCol w:w="815"/>
        <w:gridCol w:w="20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20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217"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20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sz w:val="20"/>
              </w:rPr>
            </w:pPr>
            <w:r>
              <w:rPr>
                <w:b/>
                <w:sz w:val="20"/>
              </w:rPr>
              <w:t>U.S.$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pPr>
            <w:r>
              <w:rPr/>
              <w:t>€</w:t>
            </w:r>
          </w:p>
        </w:tc>
        <w:tc>
          <w:tcPr>
            <w:tcW w:w="217"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center"/>
              <w:rPr/>
            </w:pPr>
            <w:r>
              <w:rPr/>
              <w:t>€</w:t>
            </w:r>
          </w:p>
        </w:tc>
        <w:tc>
          <w:tcPr>
            <w:tcW w:w="20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79,841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70,073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64,831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136,349</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131,210</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(34,520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(30,297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(27,053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(58,679</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(56,708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b/>
                <w:sz w:val="20"/>
              </w:rPr>
            </w:pPr>
            <w:r>
              <w:rPr>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45,321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39,776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37,778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77,670</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74,502</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Gross profit as % of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57.0</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56.8</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(14,029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(12,312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(11,120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(24,203</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(22,534</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(17,329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(15,209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(15,471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(30,644</w:t>
            </w:r>
          </w:p>
        </w:tc>
        <w:tc>
          <w:tcPr>
            <w:tcW w:w="217"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(30,542</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(11,663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(10,236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(9,744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(19,623</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(19,769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Net other operating income/(expense)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1,676</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1,646</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Operating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3,173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2,785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2,730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4,875</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3,303</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Financial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(993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(871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(4,039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(1,571</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(6,811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sz w:val="20"/>
              </w:rPr>
            </w:pPr>
            <w:r>
              <w:rPr>
                <w:sz w:val="20"/>
              </w:rPr>
              <w:t>Financial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1,113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987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2,205</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2,884</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Profit (loss) before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3,448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3,027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(322</w:t>
            </w:r>
          </w:p>
        </w:tc>
        <w:tc>
          <w:tcPr>
            <w:tcW w:w="185"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5,510</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b/>
                <w:sz w:val="20"/>
              </w:rPr>
            </w:pPr>
            <w:r>
              <w:rPr>
                <w:b/>
                <w:sz w:val="20"/>
              </w:rPr>
              <w:t>(624</w:t>
            </w:r>
          </w:p>
        </w:tc>
        <w:tc>
          <w:tcPr>
            <w:tcW w:w="200" w:type="dxa"/>
            <w:tcBorders/>
            <w:shd w:fill="FFFFFF" w:val="clear"/>
            <w:vAlign w:val="center"/>
          </w:tcPr>
          <w:p>
            <w:pPr>
              <w:pStyle w:val="TableContents"/>
              <w:bidi w:val="0"/>
              <w:spacing w:before="0" w:after="283"/>
              <w:jc w:val="left"/>
              <w:rPr>
                <w:b/>
                <w:sz w:val="20"/>
              </w:rPr>
            </w:pPr>
            <w:r>
              <w:rPr>
                <w:b/>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Income tax benefit/(expense)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(358</w:t>
            </w:r>
          </w:p>
        </w:tc>
        <w:tc>
          <w:tcPr>
            <w:tcW w:w="217"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287</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b/>
                <w:sz w:val="20"/>
              </w:rPr>
            </w:pPr>
            <w:r>
              <w:rPr>
                <w:b/>
                <w:sz w:val="20"/>
              </w:rPr>
              <w:t>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5,152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b/>
                <w:sz w:val="20"/>
              </w:rPr>
            </w:pPr>
            <w:r>
              <w:rPr>
                <w:b/>
                <w:sz w:val="20"/>
              </w:rPr>
              <w:t>(337</w:t>
            </w:r>
          </w:p>
        </w:tc>
        <w:tc>
          <w:tcPr>
            <w:tcW w:w="200" w:type="dxa"/>
            <w:tcBorders/>
            <w:shd w:fill="CCEEFF" w:val="clear"/>
            <w:vAlign w:val="center"/>
          </w:tcPr>
          <w:p>
            <w:pPr>
              <w:pStyle w:val="TableContents"/>
              <w:bidi w:val="0"/>
              <w:spacing w:before="0" w:after="283"/>
              <w:jc w:val="left"/>
              <w:rPr>
                <w:b/>
                <w:sz w:val="20"/>
              </w:rPr>
            </w:pPr>
            <w:r>
              <w:rPr>
                <w:b/>
                <w:sz w:val="20"/>
              </w:rPr>
              <w:t>)</w:t>
            </w:r>
          </w:p>
        </w:tc>
      </w:tr>
      <w:tr>
        <w:trPr/>
        <w:tc>
          <w:tcPr>
            <w:tcW w:w="4595" w:type="dxa"/>
            <w:tcBorders/>
            <w:shd w:fill="FFFFFF" w:val="clear"/>
            <w:vAlign w:val="center"/>
          </w:tcPr>
          <w:p>
            <w:pPr>
              <w:pStyle w:val="TableContents"/>
              <w:bidi w:val="0"/>
              <w:spacing w:before="0" w:after="283"/>
              <w:jc w:val="left"/>
              <w:rPr>
                <w:sz w:val="20"/>
              </w:rPr>
            </w:pPr>
            <w:r>
              <w:rPr>
                <w:sz w:val="20"/>
              </w:rPr>
              <w:t>Net profit (loss) attributable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The owners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3,331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5,152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(336</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(2</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b/>
                <w:sz w:val="20"/>
              </w:rPr>
            </w:pPr>
            <w:r>
              <w:rPr>
                <w:b/>
                <w:sz w:val="20"/>
              </w:rPr>
              <w:t>Earning per share attributable to owners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0.09</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(0.01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595" w:type="dxa"/>
            <w:tcBorders/>
            <w:shd w:fill="FFFFFF" w:val="clear"/>
            <w:vAlign w:val="center"/>
          </w:tcPr>
          <w:p>
            <w:pPr>
              <w:pStyle w:val="TableContents"/>
              <w:bidi w:val="0"/>
              <w:spacing w:before="0" w:after="283"/>
              <w:jc w:val="left"/>
              <w:rPr>
                <w:sz w:val="20"/>
              </w:rPr>
            </w:pPr>
            <w:r>
              <w:rPr>
                <w:sz w:val="20"/>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0.00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0.09</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(0.01</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sz w:val="20"/>
              </w:rPr>
            </w:pPr>
            <w:r>
              <w:rPr>
                <w:sz w:val="20"/>
              </w:rPr>
              <w:t>Weighted average basic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58,310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59,067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58,586</w:t>
            </w:r>
          </w:p>
        </w:tc>
        <w:tc>
          <w:tcPr>
            <w:tcW w:w="217"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sz w:val="20"/>
              </w:rPr>
            </w:pPr>
            <w:r>
              <w:rPr>
                <w:sz w:val="20"/>
              </w:rPr>
              <w:t>59,067</w:t>
            </w:r>
          </w:p>
        </w:tc>
        <w:tc>
          <w:tcPr>
            <w:tcW w:w="20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Weighted average diluted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58,329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58,329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59,067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58,592</w:t>
            </w:r>
          </w:p>
        </w:tc>
        <w:tc>
          <w:tcPr>
            <w:tcW w:w="21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sz w:val="20"/>
              </w:rPr>
            </w:pPr>
            <w:r>
              <w:rPr>
                <w:sz w:val="20"/>
              </w:rPr>
              <w:t>59,067</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92"/>
        <w:gridCol w:w="60"/>
        <w:gridCol w:w="75"/>
        <w:gridCol w:w="611"/>
        <w:gridCol w:w="100"/>
        <w:gridCol w:w="75"/>
        <w:gridCol w:w="75"/>
        <w:gridCol w:w="611"/>
        <w:gridCol w:w="100"/>
        <w:gridCol w:w="75"/>
        <w:gridCol w:w="76"/>
        <w:gridCol w:w="424"/>
        <w:gridCol w:w="60"/>
        <w:gridCol w:w="60"/>
        <w:gridCol w:w="97"/>
        <w:gridCol w:w="794"/>
        <w:gridCol w:w="130"/>
        <w:gridCol w:w="97"/>
        <w:gridCol w:w="97"/>
        <w:gridCol w:w="794"/>
        <w:gridCol w:w="102"/>
      </w:tblGrid>
      <w:tr>
        <w:trPr/>
        <w:tc>
          <w:tcPr>
            <w:tcW w:w="5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2"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102" w:type="dxa"/>
            <w:tcBorders/>
            <w:vAlign w:val="center"/>
          </w:tcPr>
          <w:p>
            <w:pPr>
              <w:pStyle w:val="TableContents"/>
              <w:bidi w:val="0"/>
              <w:spacing w:before="0" w:after="283"/>
              <w:jc w:val="left"/>
              <w:rPr/>
            </w:pPr>
            <w:r>
              <w:rPr/>
              <w:t> </w:t>
            </w:r>
          </w:p>
        </w:tc>
      </w:tr>
      <w:tr>
        <w:trPr/>
        <w:tc>
          <w:tcPr>
            <w:tcW w:w="5692"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8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2" w:type="dxa"/>
            <w:tcBorders/>
            <w:vAlign w:val="center"/>
          </w:tcPr>
          <w:p>
            <w:pPr>
              <w:pStyle w:val="TableContents"/>
              <w:bidi w:val="0"/>
              <w:spacing w:before="0" w:after="283"/>
              <w:jc w:val="left"/>
              <w:rPr/>
            </w:pPr>
            <w:r>
              <w:rPr/>
              <w:t> </w:t>
            </w:r>
          </w:p>
        </w:tc>
      </w:tr>
      <w:tr>
        <w:trPr/>
        <w:tc>
          <w:tcPr>
            <w:tcW w:w="56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gridSpan w:val="2"/>
            <w:tcBorders/>
            <w:vAlign w:val="center"/>
          </w:tcPr>
          <w:p>
            <w:pPr>
              <w:pStyle w:val="TableContents"/>
              <w:bidi w:val="0"/>
              <w:spacing w:before="0" w:after="283"/>
              <w:jc w:val="center"/>
              <w:rPr>
                <w:b/>
                <w:sz w:val="20"/>
              </w:rPr>
            </w:pPr>
            <w:r>
              <w:rPr>
                <w:b/>
                <w:sz w:val="20"/>
              </w:rPr>
              <w:t>U.S.$</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86" w:type="dxa"/>
            <w:gridSpan w:val="2"/>
            <w:tcBorders/>
            <w:vAlign w:val="center"/>
          </w:tcPr>
          <w:p>
            <w:pPr>
              <w:pStyle w:val="TableContents"/>
              <w:bidi w:val="0"/>
              <w:spacing w:before="0" w:after="283"/>
              <w:jc w:val="center"/>
              <w:rPr/>
            </w:pPr>
            <w:r>
              <w:rPr/>
              <w:t>€</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center"/>
              <w:rPr/>
            </w:pPr>
            <w:r>
              <w:rPr/>
              <w:t>€</w:t>
            </w:r>
          </w:p>
        </w:tc>
        <w:tc>
          <w:tcPr>
            <w:tcW w:w="13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center"/>
              <w:rPr/>
            </w:pPr>
            <w:r>
              <w:rPr/>
              <w:t>€</w:t>
            </w:r>
          </w:p>
        </w:tc>
        <w:tc>
          <w:tcPr>
            <w:tcW w:w="102" w:type="dxa"/>
            <w:tcBorders/>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3,795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3,331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5,152</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(337</w:t>
            </w:r>
          </w:p>
        </w:tc>
        <w:tc>
          <w:tcPr>
            <w:tcW w:w="102" w:type="dxa"/>
            <w:tcBorders/>
            <w:shd w:fill="CCEEFF" w:val="clear"/>
            <w:vAlign w:val="center"/>
          </w:tcPr>
          <w:p>
            <w:pPr>
              <w:pStyle w:val="TableContents"/>
              <w:bidi w:val="0"/>
              <w:spacing w:before="0" w:after="283"/>
              <w:jc w:val="left"/>
              <w:rPr>
                <w:b/>
                <w:sz w:val="20"/>
              </w:rPr>
            </w:pPr>
            <w:r>
              <w:rPr>
                <w:b/>
                <w:sz w:val="20"/>
              </w:rPr>
              <w:t>)</w:t>
            </w:r>
          </w:p>
        </w:tc>
      </w:tr>
      <w:tr>
        <w:trPr/>
        <w:tc>
          <w:tcPr>
            <w:tcW w:w="5692" w:type="dxa"/>
            <w:tcBorders/>
            <w:shd w:fill="FFFFFF" w:val="clear"/>
            <w:vAlign w:val="center"/>
          </w:tcPr>
          <w:p>
            <w:pPr>
              <w:pStyle w:val="TableContents"/>
              <w:bidi w:val="0"/>
              <w:spacing w:before="0" w:after="283"/>
              <w:jc w:val="left"/>
              <w:rPr>
                <w:b/>
                <w:sz w:val="20"/>
              </w:rPr>
            </w:pPr>
            <w:r>
              <w:rPr>
                <w:b/>
                <w:sz w:val="20"/>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i/>
                <w:sz w:val="20"/>
              </w:rPr>
            </w:pPr>
            <w:r>
              <w:rPr>
                <w:b/>
                <w:i/>
                <w:sz w:val="20"/>
              </w:rPr>
              <w:t>Items that are or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Exchange difference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91</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80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sz w:val="20"/>
              </w:rPr>
            </w:pPr>
            <w:r>
              <w:rPr>
                <w:sz w:val="20"/>
              </w:rPr>
              <w:t>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257</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1,129</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sz w:val="20"/>
              </w:rPr>
            </w:pPr>
            <w:r>
              <w:rPr>
                <w:sz w:val="20"/>
              </w:rPr>
              <w:t>Exchange differences resulting from net investment in foreign operations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sz w:val="20"/>
              </w:rPr>
            </w:pPr>
            <w:r>
              <w:rPr>
                <w:sz w:val="20"/>
              </w:rPr>
              <w:t>182</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sz w:val="20"/>
              </w:rPr>
            </w:pPr>
            <w:r>
              <w:rPr>
                <w:sz w:val="20"/>
              </w:rPr>
              <w:t>160</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537</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sz w:val="20"/>
              </w:rPr>
            </w:pPr>
            <w:r>
              <w:rPr>
                <w:sz w:val="20"/>
              </w:rPr>
              <w:t>-</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b/>
                <w:sz w:val="20"/>
              </w:rPr>
            </w:pPr>
            <w:r>
              <w:rPr>
                <w:b/>
                <w:sz w:val="20"/>
              </w:rPr>
              <w:t>Other comprehensive income/(loss), net of taxes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b/>
                <w:sz w:val="20"/>
              </w:rPr>
            </w:pPr>
            <w:r>
              <w:rPr>
                <w:b/>
                <w:sz w:val="20"/>
              </w:rPr>
              <w:t>273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b/>
                <w:sz w:val="20"/>
              </w:rPr>
            </w:pPr>
            <w:r>
              <w:rPr>
                <w:b/>
                <w:sz w:val="20"/>
              </w:rPr>
              <w:t>240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b/>
                <w:sz w:val="20"/>
              </w:rPr>
            </w:pPr>
            <w:r>
              <w:rPr>
                <w:b/>
                <w:sz w:val="20"/>
              </w:rPr>
              <w:t>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b/>
                <w:sz w:val="20"/>
              </w:rPr>
            </w:pPr>
            <w:r>
              <w:rPr>
                <w:b/>
                <w:sz w:val="20"/>
              </w:rPr>
              <w:t>794</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b/>
                <w:sz w:val="20"/>
              </w:rPr>
            </w:pPr>
            <w:r>
              <w:rPr>
                <w:b/>
                <w:sz w:val="20"/>
              </w:rPr>
              <w:t>1,129</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b/>
                <w:sz w:val="20"/>
              </w:rPr>
            </w:pPr>
            <w:r>
              <w:rPr>
                <w:b/>
                <w:sz w:val="20"/>
              </w:rPr>
              <w:t>Total comprehensive income/(loss), net of taxes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4,069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3,571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5,946</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792</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Total comprehensive income/(loss) attributable to:</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692" w:type="dxa"/>
            <w:tcBorders/>
            <w:shd w:fill="CCEEFF" w:val="clear"/>
            <w:vAlign w:val="center"/>
          </w:tcPr>
          <w:p>
            <w:pPr>
              <w:pStyle w:val="TableContents"/>
              <w:bidi w:val="0"/>
              <w:spacing w:before="0" w:after="283"/>
              <w:jc w:val="left"/>
              <w:rPr>
                <w:sz w:val="20"/>
              </w:rPr>
            </w:pPr>
            <w:r>
              <w:rPr>
                <w:sz w:val="20"/>
              </w:rPr>
              <w:t>The owners of the parent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4,071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b/>
                <w:sz w:val="20"/>
              </w:rPr>
            </w:pPr>
            <w:r>
              <w:rPr>
                <w:b/>
                <w:sz w:val="20"/>
              </w:rPr>
              <w:t>3,573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right"/>
              <w:rPr>
                <w:b/>
                <w:sz w:val="20"/>
              </w:rPr>
            </w:pPr>
            <w:r>
              <w:rPr>
                <w:b/>
                <w:sz w:val="20"/>
              </w:rPr>
              <w:t>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5,951</w:t>
            </w:r>
          </w:p>
        </w:tc>
        <w:tc>
          <w:tcPr>
            <w:tcW w:w="13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b/>
                <w:sz w:val="20"/>
              </w:rPr>
            </w:pPr>
            <w:r>
              <w:rPr>
                <w:b/>
                <w:sz w:val="20"/>
              </w:rPr>
              <w:t>785</w:t>
            </w:r>
          </w:p>
        </w:tc>
        <w:tc>
          <w:tcPr>
            <w:tcW w:w="102" w:type="dxa"/>
            <w:tcBorders/>
            <w:shd w:fill="CCEEFF" w:val="clear"/>
            <w:vAlign w:val="center"/>
          </w:tcPr>
          <w:p>
            <w:pPr>
              <w:pStyle w:val="TableContents"/>
              <w:bidi w:val="0"/>
              <w:spacing w:before="0" w:after="283"/>
              <w:jc w:val="left"/>
              <w:rPr/>
            </w:pPr>
            <w:r>
              <w:rPr/>
              <w:t> </w:t>
            </w:r>
          </w:p>
        </w:tc>
      </w:tr>
      <w:tr>
        <w:trPr/>
        <w:tc>
          <w:tcPr>
            <w:tcW w:w="5692"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(2</w:t>
            </w:r>
          </w:p>
        </w:tc>
        <w:tc>
          <w:tcPr>
            <w:tcW w:w="100" w:type="dxa"/>
            <w:tcBorders/>
            <w:shd w:fill="FFFFFF" w:val="clear"/>
            <w:vAlign w:val="center"/>
          </w:tcPr>
          <w:p>
            <w:pPr>
              <w:pStyle w:val="TableContents"/>
              <w:bidi w:val="0"/>
              <w:spacing w:before="0" w:after="283"/>
              <w:jc w:val="lef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sz w:val="20"/>
              </w:rPr>
            </w:pPr>
            <w:r>
              <w:rPr>
                <w:sz w:val="20"/>
              </w:rPr>
              <w:t>(2</w:t>
            </w:r>
          </w:p>
        </w:tc>
        <w:tc>
          <w:tcPr>
            <w:tcW w:w="100" w:type="dxa"/>
            <w:tcBorders/>
            <w:shd w:fill="FFFFFF" w:val="clear"/>
            <w:vAlign w:val="center"/>
          </w:tcPr>
          <w:p>
            <w:pPr>
              <w:pStyle w:val="TableContents"/>
              <w:bidi w:val="0"/>
              <w:spacing w:before="0" w:after="283"/>
              <w:jc w:val="lef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right"/>
              <w:rPr>
                <w:sz w:val="20"/>
              </w:rPr>
            </w:pPr>
            <w:r>
              <w:rPr>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(5</w:t>
            </w:r>
          </w:p>
        </w:tc>
        <w:tc>
          <w:tcPr>
            <w:tcW w:w="130"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sz w:val="20"/>
              </w:rPr>
            </w:pPr>
            <w:r>
              <w:rPr>
                <w:sz w:val="20"/>
              </w:rPr>
              <w:t>7</w:t>
            </w:r>
          </w:p>
        </w:tc>
        <w:tc>
          <w:tcPr>
            <w:tcW w:w="10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0" w:type="dxa"/>
          <w:right w:w="0" w:type="dxa"/>
        </w:tblCellMar>
      </w:tblPr>
      <w:tblGrid>
        <w:gridCol w:w="3650"/>
        <w:gridCol w:w="60"/>
        <w:gridCol w:w="60"/>
        <w:gridCol w:w="695"/>
        <w:gridCol w:w="60"/>
        <w:gridCol w:w="60"/>
        <w:gridCol w:w="92"/>
        <w:gridCol w:w="1082"/>
        <w:gridCol w:w="7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As of</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As of</w:t>
              <w:br/>
              <w:t>December 31,</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43,205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43,161</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25,639</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Property, plant &amp;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109,776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112,854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5,429</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3,971</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Investments in convertible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Investments in non-listed equity instruments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5,983</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196,443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197,038</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14,904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56,173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54,938</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15,533</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sz w:val="20"/>
              </w:rPr>
            </w:pPr>
            <w:r>
              <w:rPr>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133,735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133,918</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sz w:val="20"/>
              </w:rPr>
            </w:pPr>
            <w:r>
              <w:rPr>
                <w:sz w:val="20"/>
              </w:rPr>
              <w:t>Assets held for sale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4,314</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b/>
                <w:sz w:val="20"/>
              </w:rPr>
            </w:pPr>
            <w:r>
              <w:rPr>
                <w:b/>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221,221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223,607</w:t>
            </w:r>
          </w:p>
        </w:tc>
        <w:tc>
          <w:tcPr>
            <w:tcW w:w="7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417,665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420,646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144" w:type="dxa"/>
        <w:jc w:val="left"/>
        <w:tblInd w:w="0" w:type="dxa"/>
        <w:tblLayout w:type="fixed"/>
        <w:tblCellMar>
          <w:top w:w="0" w:type="dxa"/>
          <w:left w:w="0" w:type="dxa"/>
          <w:bottom w:w="0" w:type="dxa"/>
          <w:right w:w="0" w:type="dxa"/>
        </w:tblCellMar>
      </w:tblPr>
      <w:tblGrid>
        <w:gridCol w:w="3920"/>
        <w:gridCol w:w="60"/>
        <w:gridCol w:w="60"/>
        <w:gridCol w:w="695"/>
        <w:gridCol w:w="80"/>
        <w:gridCol w:w="60"/>
        <w:gridCol w:w="92"/>
        <w:gridCol w:w="1082"/>
        <w:gridCol w:w="9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As of</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As of</w:t>
              <w:br/>
              <w:t>December 31,</w:t>
            </w:r>
          </w:p>
        </w:tc>
        <w:tc>
          <w:tcPr>
            <w:tcW w:w="9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Equity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4,487</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Share premium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203,895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203,895</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Treasury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(5,230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Retained earnings and other 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53,202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47,180</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Equity attributable to the owners of the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256,354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255,562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(80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920"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256,268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255,482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Loans &amp;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46,745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49,726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3,063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2,660</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Deferred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17,344</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486</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69,441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73,280</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Loans &amp;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7,759</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2,565</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20,125</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Tax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748</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Deferred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46,267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43,523</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sz w:val="20"/>
              </w:rPr>
            </w:pPr>
            <w:r>
              <w:rPr>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16,122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sz w:val="20"/>
              </w:rPr>
            </w:pPr>
            <w:r>
              <w:rPr>
                <w:sz w:val="20"/>
              </w:rPr>
              <w:t>16,362</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sz w:val="20"/>
              </w:rPr>
            </w:pPr>
            <w:r>
              <w:rPr>
                <w:sz w:val="20"/>
              </w:rPr>
              <w:t>Liabilities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sz w:val="20"/>
              </w:rPr>
            </w:pPr>
            <w:r>
              <w:rPr>
                <w:sz w:val="20"/>
              </w:rPr>
              <w:t>802</w:t>
            </w:r>
          </w:p>
        </w:tc>
        <w:tc>
          <w:tcPr>
            <w:tcW w:w="9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sz w:val="20"/>
              </w:rPr>
            </w:pPr>
            <w:r>
              <w:rPr>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91,955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b/>
                <w:sz w:val="20"/>
              </w:rPr>
            </w:pPr>
            <w:r>
              <w:rPr>
                <w:b/>
                <w:sz w:val="20"/>
              </w:rPr>
              <w:t>91,884</w:t>
            </w:r>
          </w:p>
        </w:tc>
        <w:tc>
          <w:tcPr>
            <w:tcW w:w="9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sz w:val="20"/>
              </w:rPr>
            </w:pPr>
            <w:r>
              <w:rPr>
                <w:b/>
                <w:sz w:val="20"/>
              </w:rPr>
              <w:t>Total 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417,665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b/>
                <w:sz w:val="20"/>
              </w:rPr>
            </w:pPr>
            <w:r>
              <w:rPr>
                <w:b/>
                <w:sz w:val="20"/>
              </w:rPr>
              <w:t>420,646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cash flows (Unaudited)</w:t>
      </w:r>
    </w:p>
    <w:p>
      <w:pPr>
        <w:pStyle w:val="TextBody"/>
        <w:bidi w:val="0"/>
        <w:spacing w:before="0" w:after="0"/>
        <w:ind w:left="0" w:right="0" w:hanging="0"/>
        <w:jc w:val="left"/>
        <w:rPr>
          <w:caps w:val="false"/>
          <w:smallCaps w:val="false"/>
        </w:rPr>
      </w:pPr>
      <w:r>
        <w:rPr>
          <w:caps w:val="false"/>
          <w:smallCaps w:val="false"/>
        </w:rPr>
        <w:t> </w:t>
      </w:r>
    </w:p>
    <w:tbl>
      <w:tblPr>
        <w:tblW w:w="8427" w:type="dxa"/>
        <w:jc w:val="left"/>
        <w:tblInd w:w="0" w:type="dxa"/>
        <w:tblLayout w:type="fixed"/>
        <w:tblCellMar>
          <w:top w:w="0" w:type="dxa"/>
          <w:left w:w="0" w:type="dxa"/>
          <w:bottom w:w="0" w:type="dxa"/>
          <w:right w:w="0" w:type="dxa"/>
        </w:tblCellMar>
      </w:tblPr>
      <w:tblGrid>
        <w:gridCol w:w="6215"/>
        <w:gridCol w:w="60"/>
        <w:gridCol w:w="88"/>
        <w:gridCol w:w="871"/>
        <w:gridCol w:w="118"/>
        <w:gridCol w:w="88"/>
        <w:gridCol w:w="88"/>
        <w:gridCol w:w="804"/>
        <w:gridCol w:w="95"/>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Net (loss) profit for the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5,152</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(337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Non-cash and operational adjustments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Depreciation of property plant &amp; equipment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8,097</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7,448</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3,965</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3,210</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Share-based payment expense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115</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117</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Loss (gain) on disposal of intangible assets and property, plant &amp; equipment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(331</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(21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Government grants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(239</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(101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Movement in provisions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(49</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(366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Movement reserve for bad debt and slow moving inventory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449</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271</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Financial income</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(2,225</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(2,876</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Financial expense</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1,598</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6,770</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Impact of foreign currencies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(59</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(70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Income taxes and deferred taxes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359</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(295</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Working capital adjustments and income tax (paid)/received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sz w:val="20"/>
              </w:rPr>
            </w:pPr>
            <w:r>
              <w:rPr>
                <w:sz w:val="20"/>
              </w:rPr>
              <w:t>Decrease (increase) in trade receivables and other receivables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(210</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2,093</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sz w:val="20"/>
              </w:rPr>
            </w:pPr>
            <w:r>
              <w:rPr>
                <w:sz w:val="20"/>
              </w:rPr>
              <w:t>Decrease (increase) in inventories and contracts in progress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(2,246</w:t>
            </w:r>
          </w:p>
        </w:tc>
        <w:tc>
          <w:tcPr>
            <w:tcW w:w="118" w:type="dxa"/>
            <w:tcBorders/>
            <w:shd w:fill="CCEEFF" w:val="clear"/>
            <w:vAlign w:val="center"/>
          </w:tcPr>
          <w:p>
            <w:pPr>
              <w:pStyle w:val="TableContents"/>
              <w:bidi w:val="0"/>
              <w:spacing w:before="0" w:after="283"/>
              <w:jc w:val="left"/>
              <w:rPr>
                <w:sz w:val="20"/>
              </w:rPr>
            </w:pPr>
            <w:r>
              <w:rPr>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(500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Increase in trade payables and other payables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(807</w:t>
            </w:r>
          </w:p>
        </w:tc>
        <w:tc>
          <w:tcPr>
            <w:tcW w:w="118" w:type="dxa"/>
            <w:tcBorders/>
            <w:shd w:fill="FFFFFF" w:val="clear"/>
            <w:vAlign w:val="center"/>
          </w:tcPr>
          <w:p>
            <w:pPr>
              <w:pStyle w:val="TableContents"/>
              <w:bidi w:val="0"/>
              <w:spacing w:before="0" w:after="283"/>
              <w:jc w:val="left"/>
              <w:rPr>
                <w:sz w:val="20"/>
              </w:rPr>
            </w:pPr>
            <w:r>
              <w:rPr>
                <w:sz w:val="20"/>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(6,278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6215" w:type="dxa"/>
            <w:tcBorders/>
            <w:shd w:fill="CCEEFF" w:val="clear"/>
            <w:vAlign w:val="center"/>
          </w:tcPr>
          <w:p>
            <w:pPr>
              <w:pStyle w:val="TableContents"/>
              <w:bidi w:val="0"/>
              <w:spacing w:before="0" w:after="283"/>
              <w:jc w:val="left"/>
              <w:rPr>
                <w:sz w:val="20"/>
              </w:rPr>
            </w:pPr>
            <w:r>
              <w:rPr>
                <w:sz w:val="20"/>
              </w:rPr>
              <w:t>Income tax (paid)/received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sz w:val="20"/>
              </w:rPr>
            </w:pPr>
            <w:r>
              <w:rPr>
                <w:sz w:val="20"/>
              </w:rPr>
              <w:t>184</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20"/>
              </w:rPr>
            </w:pPr>
            <w:r>
              <w:rPr>
                <w:sz w:val="20"/>
              </w:rPr>
              <w:t>(679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6215" w:type="dxa"/>
            <w:tcBorders/>
            <w:shd w:fill="FFFFFF" w:val="clear"/>
            <w:vAlign w:val="center"/>
          </w:tcPr>
          <w:p>
            <w:pPr>
              <w:pStyle w:val="TableContents"/>
              <w:bidi w:val="0"/>
              <w:spacing w:before="0" w:after="283"/>
              <w:jc w:val="left"/>
              <w:rPr>
                <w:sz w:val="20"/>
              </w:rPr>
            </w:pPr>
            <w:r>
              <w:rPr>
                <w:sz w:val="20"/>
              </w:rPr>
              <w:t>Interest received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sz w:val="20"/>
              </w:rPr>
            </w:pPr>
            <w:r>
              <w:rPr>
                <w:sz w:val="20"/>
              </w:rPr>
              <w:t>1,308</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sz w:val="20"/>
              </w:rPr>
            </w:pPr>
            <w:r>
              <w:rPr>
                <w:sz w:val="20"/>
              </w:rPr>
              <w:t>1,300</w:t>
            </w:r>
          </w:p>
        </w:tc>
        <w:tc>
          <w:tcPr>
            <w:tcW w:w="9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b/>
                <w:sz w:val="20"/>
              </w:rPr>
            </w:pPr>
            <w:r>
              <w:rPr>
                <w:b/>
                <w:sz w:val="20"/>
              </w:rPr>
              <w:t>Net cash flow from operating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sz w:val="20"/>
              </w:rPr>
            </w:pPr>
            <w:r>
              <w:rPr>
                <w:b/>
                <w:sz w:val="20"/>
              </w:rPr>
              <w:t>15,060</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b/>
                <w:sz w:val="20"/>
              </w:rPr>
            </w:pPr>
            <w:r>
              <w:rPr>
                <w:b/>
                <w:sz w:val="20"/>
              </w:rPr>
              <w:t>9,686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8200" w:type="dxa"/>
        <w:jc w:val="left"/>
        <w:tblInd w:w="0" w:type="dxa"/>
        <w:tblLayout w:type="fixed"/>
        <w:tblCellMar>
          <w:top w:w="0" w:type="dxa"/>
          <w:left w:w="0" w:type="dxa"/>
          <w:bottom w:w="0" w:type="dxa"/>
          <w:right w:w="0" w:type="dxa"/>
        </w:tblCellMar>
      </w:tblPr>
      <w:tblGrid>
        <w:gridCol w:w="5990"/>
        <w:gridCol w:w="60"/>
        <w:gridCol w:w="74"/>
        <w:gridCol w:w="867"/>
        <w:gridCol w:w="99"/>
        <w:gridCol w:w="74"/>
        <w:gridCol w:w="74"/>
        <w:gridCol w:w="867"/>
        <w:gridCol w:w="9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Purchase of property, plant &amp; equipment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(2,792</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(5,617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Purchase of intangible assets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(654</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(944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Proceeds from the sale of property, plant &amp; equipment &amp; intangible assets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409</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233</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Cash transferred out upon divestment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(488</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color w:val="FF0000"/>
              </w:rPr>
            </w:pPr>
            <w:r>
              <w:rPr>
                <w:color w:val="FF0000"/>
              </w:rPr>
              <w:t> </w:t>
            </w:r>
          </w:p>
        </w:tc>
        <w:tc>
          <w:tcPr>
            <w:tcW w:w="74" w:type="dxa"/>
            <w:tcBorders/>
            <w:shd w:fill="CCEEFF" w:val="clear"/>
            <w:vAlign w:val="center"/>
          </w:tcPr>
          <w:p>
            <w:pPr>
              <w:pStyle w:val="TableContents"/>
              <w:bidi w:val="0"/>
              <w:spacing w:before="0" w:after="283"/>
              <w:jc w:val="left"/>
              <w:rPr>
                <w:color w:val="FF0000"/>
              </w:rPr>
            </w:pPr>
            <w:r>
              <w:rPr>
                <w:color w:val="FF0000"/>
              </w:rPr>
              <w:t> </w:t>
            </w:r>
          </w:p>
        </w:tc>
        <w:tc>
          <w:tcPr>
            <w:tcW w:w="867" w:type="dxa"/>
            <w:tcBorders/>
            <w:shd w:fill="CCEEFF" w:val="clear"/>
            <w:vAlign w:val="center"/>
          </w:tcPr>
          <w:p>
            <w:pPr>
              <w:pStyle w:val="TableContents"/>
              <w:bidi w:val="0"/>
              <w:spacing w:before="0" w:after="283"/>
              <w:jc w:val="right"/>
              <w:rPr>
                <w:color w:val="FF0000"/>
                <w:sz w:val="20"/>
              </w:rPr>
            </w:pPr>
            <w:r>
              <w:rPr>
                <w:color w:val="FF0000"/>
                <w:sz w:val="20"/>
              </w:rPr>
              <w:t>-</w:t>
            </w:r>
          </w:p>
        </w:tc>
        <w:tc>
          <w:tcPr>
            <w:tcW w:w="95" w:type="dxa"/>
            <w:tcBorders/>
            <w:shd w:fill="CCEEFF" w:val="clear"/>
            <w:vAlign w:val="center"/>
          </w:tcPr>
          <w:p>
            <w:pPr>
              <w:pStyle w:val="TableContents"/>
              <w:bidi w:val="0"/>
              <w:spacing w:before="0" w:after="283"/>
              <w:jc w:val="left"/>
              <w:rPr>
                <w:color w:val="FF0000"/>
              </w:rPr>
            </w:pPr>
            <w:r>
              <w:rPr>
                <w:color w:val="FF0000"/>
              </w:rPr>
              <w:t> </w:t>
            </w:r>
          </w:p>
        </w:tc>
      </w:tr>
      <w:tr>
        <w:trPr/>
        <w:tc>
          <w:tcPr>
            <w:tcW w:w="5990" w:type="dxa"/>
            <w:tcBorders/>
            <w:shd w:fill="FFFFFF" w:val="clear"/>
            <w:vAlign w:val="center"/>
          </w:tcPr>
          <w:p>
            <w:pPr>
              <w:pStyle w:val="TableContents"/>
              <w:bidi w:val="0"/>
              <w:spacing w:before="0" w:after="283"/>
              <w:jc w:val="left"/>
              <w:rPr>
                <w:sz w:val="20"/>
              </w:rPr>
            </w:pPr>
            <w:r>
              <w:rPr>
                <w:sz w:val="20"/>
              </w:rPr>
              <w:t>Investments in associates and joint ventures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(8</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Convertible loan to third party</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(400</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Capital government grants received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240</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2,640</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Net cash flow used in investing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(3,692</w:t>
            </w:r>
          </w:p>
        </w:tc>
        <w:tc>
          <w:tcPr>
            <w:tcW w:w="99" w:type="dxa"/>
            <w:tcBorders/>
            <w:shd w:fill="CCEEFF" w:val="clear"/>
            <w:vAlign w:val="center"/>
          </w:tcPr>
          <w:p>
            <w:pPr>
              <w:pStyle w:val="TableContents"/>
              <w:bidi w:val="0"/>
              <w:spacing w:before="0" w:after="283"/>
              <w:jc w:val="left"/>
              <w:rPr>
                <w:b/>
                <w:sz w:val="20"/>
              </w:rPr>
            </w:pPr>
            <w:r>
              <w:rPr>
                <w:b/>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(3,688</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5990"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Proceeds from loans &amp; borrowings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20,000</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Repayment of loans &amp; borrowings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(3,951</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(6,860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Repayment of leases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(1,917</w:t>
            </w:r>
          </w:p>
        </w:tc>
        <w:tc>
          <w:tcPr>
            <w:tcW w:w="99" w:type="dxa"/>
            <w:tcBorders/>
            <w:shd w:fill="CCEEFF" w:val="clear"/>
            <w:vAlign w:val="center"/>
          </w:tcPr>
          <w:p>
            <w:pPr>
              <w:pStyle w:val="TableContents"/>
              <w:bidi w:val="0"/>
              <w:spacing w:before="0" w:after="283"/>
              <w:jc w:val="left"/>
              <w:rPr>
                <w:sz w:val="20"/>
              </w:rPr>
            </w:pPr>
            <w:r>
              <w:rPr>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(1,544</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Interest paid</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(978</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(621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sz w:val="20"/>
              </w:rPr>
            </w:pPr>
            <w:r>
              <w:rPr>
                <w:sz w:val="20"/>
              </w:rPr>
              <w:t>Other financial income (expense), net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(1,300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5990" w:type="dxa"/>
            <w:tcBorders/>
            <w:shd w:fill="FFFFFF" w:val="clear"/>
            <w:vAlign w:val="center"/>
          </w:tcPr>
          <w:p>
            <w:pPr>
              <w:pStyle w:val="TableContents"/>
              <w:bidi w:val="0"/>
              <w:spacing w:before="0" w:after="283"/>
              <w:jc w:val="left"/>
              <w:rPr>
                <w:sz w:val="20"/>
              </w:rPr>
            </w:pPr>
            <w:r>
              <w:rPr>
                <w:sz w:val="20"/>
              </w:rPr>
              <w:t>Repurchase of treasury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(5,230</w:t>
            </w:r>
          </w:p>
        </w:tc>
        <w:tc>
          <w:tcPr>
            <w:tcW w:w="99" w:type="dxa"/>
            <w:tcBorders/>
            <w:shd w:fill="FFFFFF" w:val="clear"/>
            <w:vAlign w:val="center"/>
          </w:tcPr>
          <w:p>
            <w:pPr>
              <w:pStyle w:val="TableContents"/>
              <w:bidi w:val="0"/>
              <w:spacing w:before="0" w:after="283"/>
              <w:jc w:val="left"/>
              <w:rPr>
                <w:sz w:val="20"/>
              </w:rPr>
            </w:pPr>
            <w:r>
              <w:rPr>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b/>
                <w:sz w:val="20"/>
              </w:rPr>
            </w:pPr>
            <w:r>
              <w:rPr>
                <w:b/>
                <w:sz w:val="20"/>
              </w:rPr>
              <w:t>Net cash flow from (used in) financing activities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(12,058</w:t>
            </w:r>
          </w:p>
        </w:tc>
        <w:tc>
          <w:tcPr>
            <w:tcW w:w="99" w:type="dxa"/>
            <w:tcBorders/>
            <w:shd w:fill="CCEEFF" w:val="clear"/>
            <w:vAlign w:val="center"/>
          </w:tcPr>
          <w:p>
            <w:pPr>
              <w:pStyle w:val="TableContents"/>
              <w:bidi w:val="0"/>
              <w:spacing w:before="0" w:after="283"/>
              <w:jc w:val="left"/>
              <w:rPr>
                <w:b/>
                <w:sz w:val="20"/>
              </w:rPr>
            </w:pPr>
            <w:r>
              <w:rPr>
                <w:b/>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9,676</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b/>
                <w:sz w:val="20"/>
              </w:rPr>
            </w:pPr>
            <w:r>
              <w:rPr>
                <w:b/>
                <w:sz w:val="20"/>
              </w:rPr>
              <w:t>Net increase/(decrease) of cash &amp; cash equivalents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b/>
                <w:sz w:val="20"/>
              </w:rPr>
            </w:pPr>
            <w:r>
              <w:rPr>
                <w:b/>
                <w:sz w:val="20"/>
              </w:rPr>
              <w:t>(690</w:t>
            </w:r>
          </w:p>
        </w:tc>
        <w:tc>
          <w:tcPr>
            <w:tcW w:w="99" w:type="dxa"/>
            <w:tcBorders/>
            <w:shd w:fill="FFFFFF" w:val="clear"/>
            <w:vAlign w:val="center"/>
          </w:tcPr>
          <w:p>
            <w:pPr>
              <w:pStyle w:val="TableContents"/>
              <w:bidi w:val="0"/>
              <w:spacing w:before="0" w:after="283"/>
              <w:jc w:val="left"/>
              <w:rPr>
                <w:b/>
                <w:sz w:val="20"/>
              </w:rPr>
            </w:pPr>
            <w:r>
              <w:rPr>
                <w:b/>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b/>
                <w:sz w:val="20"/>
              </w:rPr>
            </w:pPr>
            <w:r>
              <w:rPr>
                <w:b/>
                <w:sz w:val="20"/>
              </w:rPr>
              <w:t>15,673</w:t>
            </w:r>
          </w:p>
        </w:tc>
        <w:tc>
          <w:tcPr>
            <w:tcW w:w="9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sz w:val="20"/>
              </w:rPr>
            </w:pPr>
            <w:r>
              <w:rPr>
                <w:sz w:val="20"/>
              </w:rPr>
              <w:t>Cash &amp;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133,918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sz w:val="20"/>
              </w:rPr>
            </w:pPr>
            <w:r>
              <w:rPr>
                <w:sz w:val="20"/>
              </w:rPr>
              <w:t>102,304</w:t>
            </w:r>
          </w:p>
        </w:tc>
        <w:tc>
          <w:tcPr>
            <w:tcW w:w="9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sz w:val="20"/>
              </w:rPr>
            </w:pPr>
            <w:r>
              <w:rPr>
                <w:sz w:val="20"/>
              </w:rPr>
              <w:t>Exchange rate differences on cash &amp; cash equivalents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507</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sz w:val="20"/>
              </w:rPr>
            </w:pPr>
            <w:r>
              <w:rPr>
                <w:sz w:val="20"/>
              </w:rPr>
              <w:t>(913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990" w:type="dxa"/>
            <w:tcBorders/>
            <w:shd w:fill="CCEEFF" w:val="clear"/>
            <w:vAlign w:val="center"/>
          </w:tcPr>
          <w:p>
            <w:pPr>
              <w:pStyle w:val="TableContents"/>
              <w:bidi w:val="0"/>
              <w:spacing w:before="0" w:after="283"/>
              <w:jc w:val="left"/>
              <w:rPr>
                <w:b/>
                <w:sz w:val="20"/>
              </w:rPr>
            </w:pPr>
            <w:r>
              <w:rPr>
                <w:b/>
                <w:sz w:val="20"/>
              </w:rPr>
              <w:t>Cash &amp;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133,735</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sz w:val="20"/>
              </w:rPr>
            </w:pPr>
            <w:r>
              <w:rPr>
                <w:b/>
                <w:sz w:val="20"/>
              </w:rPr>
              <w:t>117,064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EBITDA and Adjusted EBITDA (Unaudited)</w:t>
      </w:r>
    </w:p>
    <w:p>
      <w:pPr>
        <w:pStyle w:val="TextBody"/>
        <w:bidi w:val="0"/>
        <w:spacing w:before="0" w:after="0"/>
        <w:ind w:left="0" w:right="0" w:hanging="0"/>
        <w:jc w:val="left"/>
        <w:rPr>
          <w:caps w:val="false"/>
          <w:smallCaps w:val="false"/>
        </w:rPr>
      </w:pPr>
      <w:r>
        <w:rPr>
          <w:caps w:val="false"/>
          <w:smallCaps w:val="false"/>
        </w:rPr>
        <w:t> </w:t>
      </w:r>
    </w:p>
    <w:tbl>
      <w:tblPr>
        <w:tblW w:w="8042" w:type="dxa"/>
        <w:jc w:val="left"/>
        <w:tblInd w:w="0" w:type="dxa"/>
        <w:tblLayout w:type="fixed"/>
        <w:tblCellMar>
          <w:top w:w="0" w:type="dxa"/>
          <w:left w:w="0" w:type="dxa"/>
          <w:bottom w:w="0" w:type="dxa"/>
          <w:right w:w="0" w:type="dxa"/>
        </w:tblCellMar>
      </w:tblPr>
      <w:tblGrid>
        <w:gridCol w:w="3440"/>
        <w:gridCol w:w="60"/>
        <w:gridCol w:w="104"/>
        <w:gridCol w:w="952"/>
        <w:gridCol w:w="139"/>
        <w:gridCol w:w="104"/>
        <w:gridCol w:w="104"/>
        <w:gridCol w:w="847"/>
        <w:gridCol w:w="80"/>
        <w:gridCol w:w="60"/>
        <w:gridCol w:w="85"/>
        <w:gridCol w:w="844"/>
        <w:gridCol w:w="114"/>
        <w:gridCol w:w="85"/>
        <w:gridCol w:w="85"/>
        <w:gridCol w:w="844"/>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3,331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5,152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44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(304</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358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871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1,571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(1,113</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(2,205</w:t>
            </w:r>
          </w:p>
        </w:tc>
        <w:tc>
          <w:tcPr>
            <w:tcW w:w="114" w:type="dxa"/>
            <w:tcBorders/>
            <w:shd w:fill="FFFFFF" w:val="clear"/>
            <w:vAlign w:val="center"/>
          </w:tcPr>
          <w:p>
            <w:pPr>
              <w:pStyle w:val="TableContents"/>
              <w:bidi w:val="0"/>
              <w:spacing w:before="0" w:after="283"/>
              <w:jc w:val="left"/>
              <w:rPr>
                <w:sz w:val="20"/>
              </w:rPr>
            </w:pPr>
            <w:r>
              <w:rPr>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5,712</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5,230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11,291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10,731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sz w:val="20"/>
              </w:rPr>
            </w:pPr>
            <w:r>
              <w:rPr>
                <w:b/>
                <w:sz w:val="20"/>
              </w:rPr>
              <w:t>EBITDA</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b/>
                <w:sz w:val="20"/>
              </w:rPr>
            </w:pPr>
            <w:r>
              <w:rPr>
                <w:b/>
                <w:sz w:val="20"/>
              </w:rPr>
              <w:t>8,497</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sz w:val="20"/>
              </w:rPr>
            </w:pPr>
            <w:r>
              <w:rPr>
                <w:b/>
                <w:sz w:val="20"/>
              </w:rPr>
              <w:t>7,960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16,167</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14,034</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Share-based compensation expense </w:t>
            </w: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59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115</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117</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Restructuring and corporate initiatives (2)</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178</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435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283</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Impairments (3)</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689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756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Divestitures-related expenses </w:t>
            </w: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169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169</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Adjusted EBITDA</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9,593</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8,288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17,642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14,434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Share-based compensation expense represents the cost of equity-settled and share-based payments to employees.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Non-recurring costs related to corporate initiatives, restructurings or reorganizations.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Divestitures-related expenses represent fees and costs in connection with the divestitures of RapidFit and Eyewear.</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EBIT and Adjusted EBIT (Unaudited)</w:t>
      </w:r>
    </w:p>
    <w:p>
      <w:pPr>
        <w:pStyle w:val="TextBody"/>
        <w:bidi w:val="0"/>
        <w:spacing w:before="0" w:after="0"/>
        <w:ind w:left="0" w:right="0" w:hanging="0"/>
        <w:jc w:val="left"/>
        <w:rPr>
          <w:caps w:val="false"/>
          <w:smallCaps w:val="false"/>
        </w:rPr>
      </w:pPr>
      <w:r>
        <w:rPr>
          <w:caps w:val="false"/>
          <w:smallCaps w:val="false"/>
        </w:rPr>
        <w:t> </w:t>
      </w:r>
    </w:p>
    <w:tbl>
      <w:tblPr>
        <w:tblW w:w="8042" w:type="dxa"/>
        <w:jc w:val="left"/>
        <w:tblInd w:w="0" w:type="dxa"/>
        <w:tblLayout w:type="fixed"/>
        <w:tblCellMar>
          <w:top w:w="0" w:type="dxa"/>
          <w:left w:w="0" w:type="dxa"/>
          <w:bottom w:w="0" w:type="dxa"/>
          <w:right w:w="0" w:type="dxa"/>
        </w:tblCellMar>
      </w:tblPr>
      <w:tblGrid>
        <w:gridCol w:w="3440"/>
        <w:gridCol w:w="60"/>
        <w:gridCol w:w="104"/>
        <w:gridCol w:w="952"/>
        <w:gridCol w:w="139"/>
        <w:gridCol w:w="104"/>
        <w:gridCol w:w="104"/>
        <w:gridCol w:w="847"/>
        <w:gridCol w:w="80"/>
        <w:gridCol w:w="60"/>
        <w:gridCol w:w="91"/>
        <w:gridCol w:w="831"/>
        <w:gridCol w:w="122"/>
        <w:gridCol w:w="91"/>
        <w:gridCol w:w="91"/>
        <w:gridCol w:w="831"/>
        <w:gridCol w:w="9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39"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2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3,331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5,152</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440"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(304</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358</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871</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1,571</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(1,113</w:t>
            </w:r>
          </w:p>
        </w:tc>
        <w:tc>
          <w:tcPr>
            <w:tcW w:w="139" w:type="dxa"/>
            <w:tcBorders/>
            <w:shd w:fill="FFFFFF" w:val="clear"/>
            <w:vAlign w:val="center"/>
          </w:tcPr>
          <w:p>
            <w:pPr>
              <w:pStyle w:val="TableContents"/>
              <w:bidi w:val="0"/>
              <w:spacing w:before="0" w:after="283"/>
              <w:jc w:val="left"/>
              <w:rPr>
                <w:sz w:val="20"/>
              </w:rPr>
            </w:pPr>
            <w:r>
              <w:rPr>
                <w:sz w:val="20"/>
              </w:rPr>
              <w:t>)</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(2,205</w:t>
            </w:r>
          </w:p>
        </w:tc>
        <w:tc>
          <w:tcPr>
            <w:tcW w:w="122" w:type="dxa"/>
            <w:tcBorders/>
            <w:shd w:fill="FFFFFF" w:val="clear"/>
            <w:vAlign w:val="center"/>
          </w:tcPr>
          <w:p>
            <w:pPr>
              <w:pStyle w:val="TableContents"/>
              <w:bidi w:val="0"/>
              <w:spacing w:before="0" w:after="283"/>
              <w:jc w:val="left"/>
              <w:rPr>
                <w:sz w:val="20"/>
              </w:rPr>
            </w:pPr>
            <w:r>
              <w:rPr>
                <w:sz w:val="20"/>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440" w:type="dxa"/>
            <w:tcBorders/>
            <w:shd w:fill="CCEEFF" w:val="clear"/>
            <w:vAlign w:val="center"/>
          </w:tcPr>
          <w:p>
            <w:pPr>
              <w:pStyle w:val="TableContents"/>
              <w:bidi w:val="0"/>
              <w:spacing w:before="0" w:after="283"/>
              <w:jc w:val="left"/>
              <w:rPr>
                <w:b/>
                <w:sz w:val="20"/>
              </w:rPr>
            </w:pPr>
            <w:r>
              <w:rPr>
                <w:b/>
                <w:sz w:val="20"/>
              </w:rPr>
              <w:t>EBIT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sz w:val="20"/>
              </w:rPr>
            </w:pPr>
            <w:r>
              <w:rPr>
                <w:b/>
                <w:sz w:val="20"/>
              </w:rPr>
              <w:t>2,785</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b/>
                <w:sz w:val="20"/>
              </w:rPr>
            </w:pPr>
            <w:r>
              <w:rPr>
                <w:b/>
                <w:sz w:val="20"/>
              </w:rPr>
              <w:t>2,730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4,876</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b/>
                <w:sz w:val="20"/>
              </w:rPr>
            </w:pPr>
            <w:r>
              <w:rPr>
                <w:b/>
                <w:sz w:val="20"/>
              </w:rPr>
              <w:t>3,303</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Share-based compensation expense (1)</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59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115</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117</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Restructuring and corporate initiatives (2)</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178</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435</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283</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sz w:val="20"/>
              </w:rPr>
            </w:pPr>
            <w:r>
              <w:rPr>
                <w:sz w:val="20"/>
              </w:rPr>
              <w:t>Impairments (3)</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sz w:val="20"/>
              </w:rPr>
            </w:pPr>
            <w:r>
              <w:rPr>
                <w:sz w:val="20"/>
              </w:rPr>
              <w:t>689</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756</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sz w:val="20"/>
              </w:rPr>
            </w:pPr>
            <w:r>
              <w:rPr>
                <w:sz w:val="20"/>
              </w:rPr>
              <w:t>Divestitures-related expenses (4)</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sz w:val="20"/>
              </w:rPr>
            </w:pPr>
            <w:r>
              <w:rPr>
                <w:sz w:val="20"/>
              </w:rPr>
              <w:t>169</w:t>
            </w:r>
          </w:p>
        </w:tc>
        <w:tc>
          <w:tcPr>
            <w:tcW w:w="13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169</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b/>
                <w:sz w:val="20"/>
              </w:rPr>
            </w:pPr>
            <w:r>
              <w:rPr>
                <w:b/>
                <w:sz w:val="20"/>
              </w:rPr>
              <w:t>Adjusted EBIT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b/>
                <w:sz w:val="20"/>
              </w:rPr>
            </w:pPr>
            <w:r>
              <w:rPr>
                <w:b/>
                <w:sz w:val="20"/>
              </w:rPr>
              <w:t>3,880</w:t>
            </w:r>
          </w:p>
        </w:tc>
        <w:tc>
          <w:tcPr>
            <w:tcW w:w="139"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b/>
                <w:sz w:val="20"/>
              </w:rPr>
            </w:pPr>
            <w:r>
              <w:rPr>
                <w:b/>
                <w:sz w:val="20"/>
              </w:rPr>
              <w:t>3,058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b/>
                <w:sz w:val="20"/>
              </w:rPr>
            </w:pPr>
            <w:r>
              <w:rPr>
                <w:b/>
                <w:sz w:val="20"/>
              </w:rPr>
              <w:t>6,351</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b/>
                <w:sz w:val="20"/>
              </w:rPr>
            </w:pPr>
            <w:r>
              <w:rPr>
                <w:b/>
                <w:sz w:val="20"/>
              </w:rPr>
              <w:t>3,703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Share-based compensation expense represents the cost of equity-settled and share-based payments to employees.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Non-recurring costs related to corporate initiatives, restructurings or reorganizations.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Divestitures-related expenses represent fees and costs in connection with the divestitures of RapidFit and Eyewear.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P&amp;L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5"/>
        <w:gridCol w:w="60"/>
        <w:gridCol w:w="91"/>
        <w:gridCol w:w="904"/>
        <w:gridCol w:w="185"/>
        <w:gridCol w:w="60"/>
        <w:gridCol w:w="109"/>
        <w:gridCol w:w="886"/>
        <w:gridCol w:w="185"/>
        <w:gridCol w:w="60"/>
        <w:gridCol w:w="119"/>
        <w:gridCol w:w="1176"/>
        <w:gridCol w:w="185"/>
        <w:gridCol w:w="60"/>
        <w:gridCol w:w="72"/>
        <w:gridCol w:w="713"/>
        <w:gridCol w:w="185"/>
        <w:gridCol w:w="60"/>
        <w:gridCol w:w="103"/>
        <w:gridCol w:w="937"/>
        <w:gridCol w:w="80"/>
        <w:gridCol w:w="60"/>
        <w:gridCol w:w="104"/>
        <w:gridCol w:w="1026"/>
        <w:gridCol w:w="200"/>
      </w:tblGrid>
      <w:tr>
        <w:trPr/>
        <w:tc>
          <w:tcPr>
            <w:tcW w:w="258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Medical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Software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Manufacturing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br/>
              <w:t>segments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Unallocated</w:t>
              <w:b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Consolidated</w:t>
            </w:r>
          </w:p>
        </w:tc>
        <w:tc>
          <w:tcPr>
            <w:tcW w:w="20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sz w:val="20"/>
              </w:rPr>
            </w:pPr>
            <w:r>
              <w:rPr>
                <w:b/>
                <w:sz w:val="20"/>
              </w:rPr>
              <w:t>For the three months ended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36,873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9,601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23,597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70,071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70,073</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11,553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981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(285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sz w:val="20"/>
              </w:rPr>
            </w:pPr>
            <w:r>
              <w:rPr>
                <w:sz w:val="20"/>
              </w:rPr>
              <w:t>12,248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(2,656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sz w:val="20"/>
              </w:rPr>
            </w:pPr>
            <w:r>
              <w:rPr>
                <w:sz w:val="20"/>
              </w:rPr>
              <w:t>9,593</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31.3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10.2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-1.2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17.5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13.7</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85" w:type="dxa"/>
            <w:tcBorders/>
            <w:shd w:fill="CCEEFF" w:val="clear"/>
            <w:vAlign w:val="center"/>
          </w:tcPr>
          <w:p>
            <w:pPr>
              <w:pStyle w:val="TableContents"/>
              <w:bidi w:val="0"/>
              <w:spacing w:before="0" w:after="283"/>
              <w:jc w:val="left"/>
              <w:rPr>
                <w:b/>
                <w:sz w:val="20"/>
              </w:rPr>
            </w:pPr>
            <w:r>
              <w:rPr>
                <w:b/>
                <w:sz w:val="20"/>
              </w:rPr>
              <w:t>For the three months ended June 30, 2025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32,850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9,872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22,109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64,831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64,831</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10,728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sz w:val="20"/>
              </w:rPr>
            </w:pPr>
            <w:r>
              <w:rPr>
                <w:sz w:val="20"/>
              </w:rPr>
              <w:t>1,373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(807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sz w:val="20"/>
              </w:rPr>
            </w:pPr>
            <w:r>
              <w:rPr>
                <w:sz w:val="20"/>
              </w:rPr>
              <w:t>11,294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(3,005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sz w:val="20"/>
              </w:rPr>
            </w:pPr>
            <w:r>
              <w:rPr>
                <w:sz w:val="20"/>
              </w:rPr>
              <w:t>8,288</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32.7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sz w:val="20"/>
              </w:rPr>
            </w:pPr>
            <w:r>
              <w:rPr>
                <w:sz w:val="20"/>
              </w:rPr>
              <w:t>13.9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-3.6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sz w:val="20"/>
              </w:rPr>
            </w:pPr>
            <w:r>
              <w:rPr>
                <w:sz w:val="20"/>
              </w:rPr>
              <w:t>17.4</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sz w:val="20"/>
              </w:rPr>
            </w:pPr>
            <w:r>
              <w:rPr>
                <w:sz w:val="20"/>
              </w:rPr>
              <w:t>12.8</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2585"/>
        <w:gridCol w:w="60"/>
        <w:gridCol w:w="91"/>
        <w:gridCol w:w="904"/>
        <w:gridCol w:w="185"/>
        <w:gridCol w:w="60"/>
        <w:gridCol w:w="91"/>
        <w:gridCol w:w="904"/>
        <w:gridCol w:w="185"/>
        <w:gridCol w:w="60"/>
        <w:gridCol w:w="119"/>
        <w:gridCol w:w="1176"/>
        <w:gridCol w:w="185"/>
        <w:gridCol w:w="60"/>
        <w:gridCol w:w="62"/>
        <w:gridCol w:w="723"/>
        <w:gridCol w:w="185"/>
        <w:gridCol w:w="60"/>
        <w:gridCol w:w="103"/>
        <w:gridCol w:w="937"/>
        <w:gridCol w:w="80"/>
        <w:gridCol w:w="60"/>
        <w:gridCol w:w="89"/>
        <w:gridCol w:w="1041"/>
        <w:gridCol w:w="200"/>
      </w:tblGrid>
      <w:tr>
        <w:trPr/>
        <w:tc>
          <w:tcPr>
            <w:tcW w:w="258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Medical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Software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Materialise</w:t>
              <w:br/>
              <w:t>Manufacturing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br/>
              <w:t>segments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Unallocated</w:t>
              <w:b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Consolidated</w:t>
            </w:r>
          </w:p>
        </w:tc>
        <w:tc>
          <w:tcPr>
            <w:tcW w:w="20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b/>
                <w:sz w:val="20"/>
              </w:rPr>
            </w:pPr>
            <w:r>
              <w:rPr>
                <w:b/>
                <w:sz w:val="20"/>
              </w:rPr>
              <w:t>For the six months ended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70,039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19,242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47,067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136,347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136,349</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20,787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2,103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22,886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(5,245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17,642</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29.7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10.9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16.8</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12.9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2585" w:type="dxa"/>
            <w:tcBorders/>
            <w:shd w:fill="CCEEFF" w:val="clear"/>
            <w:vAlign w:val="center"/>
          </w:tcPr>
          <w:p>
            <w:pPr>
              <w:pStyle w:val="TableContents"/>
              <w:bidi w:val="0"/>
              <w:spacing w:before="0" w:after="283"/>
              <w:jc w:val="left"/>
              <w:rPr>
                <w:b/>
                <w:sz w:val="20"/>
              </w:rPr>
            </w:pPr>
            <w:r>
              <w:rPr>
                <w:b/>
                <w:sz w:val="20"/>
              </w:rPr>
              <w:t>For the six months ended June 30, 2025</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Revenues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63,928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19,647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47,635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131,210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sz w:val="20"/>
              </w:rPr>
            </w:pPr>
            <w:r>
              <w:rPr>
                <w:sz w:val="20"/>
              </w:rPr>
              <w:t>(0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131,210</w:t>
            </w:r>
          </w:p>
        </w:tc>
        <w:tc>
          <w:tcPr>
            <w:tcW w:w="20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sz w:val="20"/>
              </w:rPr>
            </w:pPr>
            <w:r>
              <w:rPr>
                <w:sz w:val="20"/>
              </w:rPr>
              <w:t>Segment (adj) EBITDA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19,775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sz w:val="20"/>
              </w:rPr>
            </w:pPr>
            <w:r>
              <w:rPr>
                <w:sz w:val="20"/>
              </w:rPr>
              <w:t>1,971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sz w:val="20"/>
              </w:rPr>
            </w:pPr>
            <w:r>
              <w:rPr>
                <w:sz w:val="20"/>
              </w:rPr>
              <w:t>(1,185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20"/>
              </w:rPr>
            </w:pPr>
            <w:r>
              <w:rPr>
                <w:sz w:val="20"/>
              </w:rPr>
              <w:t>20,561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sz w:val="20"/>
              </w:rPr>
            </w:pPr>
            <w:r>
              <w:rPr>
                <w:sz w:val="20"/>
              </w:rPr>
              <w:t>(6,127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r>
              <w:rPr>
                <w:sz w:val="20"/>
              </w:rPr>
              <w:t>14,434</w:t>
            </w:r>
          </w:p>
        </w:tc>
        <w:tc>
          <w:tcPr>
            <w:tcW w:w="20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sz w:val="20"/>
              </w:rPr>
            </w:pPr>
            <w:r>
              <w:rPr>
                <w:sz w:val="20"/>
              </w:rPr>
              <w:t>Segment (adj) EBITDA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30.9</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10.0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sz w:val="20"/>
              </w:rPr>
            </w:pPr>
            <w:r>
              <w:rPr>
                <w:sz w:val="20"/>
              </w:rPr>
              <w:t>-2.5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20"/>
              </w:rPr>
            </w:pPr>
            <w:r>
              <w:rPr>
                <w:sz w:val="20"/>
              </w:rPr>
              <w:t>15.7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sz w:val="20"/>
              </w:rPr>
            </w:pPr>
            <w:r>
              <w:rPr>
                <w:sz w:val="20"/>
              </w:rPr>
              <w:t>11.0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Unallocated segment adjusted EBITDA consists of corporate research and development and corporate other operating income (expense), and the added share-based compensation expenses, acquisition expenses related to business combinations or divestiture-related expenses, impairments and revaluation of fair value of business combinations and non-recurring costs related to corporate initiatives, restructurings and reorganizations that are included in Adjusted EBITDA and that are not allocated to the reporting segments .</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(Loss) to Segment adjusted EBITDA (Unaudited)</w:t>
      </w:r>
    </w:p>
    <w:p>
      <w:pPr>
        <w:pStyle w:val="TextBody"/>
        <w:bidi w:val="0"/>
        <w:spacing w:before="0" w:after="0"/>
        <w:ind w:left="0" w:right="0" w:hanging="0"/>
        <w:jc w:val="left"/>
        <w:rPr>
          <w:caps w:val="false"/>
          <w:smallCaps w:val="false"/>
        </w:rPr>
      </w:pPr>
      <w:r>
        <w:rPr>
          <w:caps w:val="false"/>
          <w:smallCaps w:val="false"/>
        </w:rPr>
        <w:t> </w:t>
      </w:r>
    </w:p>
    <w:tbl>
      <w:tblPr>
        <w:tblW w:w="8267" w:type="dxa"/>
        <w:jc w:val="left"/>
        <w:tblInd w:w="0" w:type="dxa"/>
        <w:tblLayout w:type="fixed"/>
        <w:tblCellMar>
          <w:top w:w="0" w:type="dxa"/>
          <w:left w:w="0" w:type="dxa"/>
          <w:bottom w:w="0" w:type="dxa"/>
          <w:right w:w="0" w:type="dxa"/>
        </w:tblCellMar>
      </w:tblPr>
      <w:tblGrid>
        <w:gridCol w:w="3665"/>
        <w:gridCol w:w="60"/>
        <w:gridCol w:w="93"/>
        <w:gridCol w:w="923"/>
        <w:gridCol w:w="125"/>
        <w:gridCol w:w="93"/>
        <w:gridCol w:w="93"/>
        <w:gridCol w:w="923"/>
        <w:gridCol w:w="80"/>
        <w:gridCol w:w="60"/>
        <w:gridCol w:w="85"/>
        <w:gridCol w:w="844"/>
        <w:gridCol w:w="114"/>
        <w:gridCol w:w="85"/>
        <w:gridCol w:w="85"/>
        <w:gridCol w:w="844"/>
        <w:gridCol w:w="9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9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20"/>
              </w:rPr>
            </w:pPr>
            <w:r>
              <w:rPr>
                <w:sz w:val="20"/>
              </w:rPr>
              <w:t>In 000€</w:t>
            </w:r>
          </w:p>
        </w:tc>
        <w:tc>
          <w:tcPr>
            <w:tcW w:w="60"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25"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right"/>
              <w:rPr>
                <w:b/>
                <w:sz w:val="20"/>
              </w:rPr>
            </w:pPr>
            <w:r>
              <w:rPr>
                <w:b/>
                <w:sz w:val="20"/>
              </w:rPr>
              <w:t>2026</w:t>
            </w:r>
          </w:p>
        </w:tc>
        <w:tc>
          <w:tcPr>
            <w:tcW w:w="11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sz w:val="20"/>
              </w:rPr>
            </w:pPr>
            <w:r>
              <w:rPr>
                <w:b/>
                <w:sz w:val="20"/>
              </w:rPr>
              <w:t>Net profit (loss) for the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3,331</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5,152</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(337</w:t>
            </w:r>
          </w:p>
        </w:tc>
        <w:tc>
          <w:tcPr>
            <w:tcW w:w="95" w:type="dxa"/>
            <w:tcBorders/>
            <w:shd w:fill="CCEEFF" w:val="clear"/>
            <w:vAlign w:val="center"/>
          </w:tcPr>
          <w:p>
            <w:pPr>
              <w:pStyle w:val="TableContents"/>
              <w:bidi w:val="0"/>
              <w:spacing w:before="0" w:after="283"/>
              <w:jc w:val="left"/>
              <w:rPr>
                <w:b/>
                <w:sz w:val="20"/>
              </w:rPr>
            </w:pPr>
            <w:r>
              <w:rPr>
                <w:b/>
                <w:sz w:val="20"/>
              </w:rPr>
              <w:t>)</w:t>
            </w:r>
          </w:p>
        </w:tc>
      </w:tr>
      <w:tr>
        <w:trPr/>
        <w:tc>
          <w:tcPr>
            <w:tcW w:w="3665" w:type="dxa"/>
            <w:tcBorders/>
            <w:shd w:fill="FFFFFF" w:val="clear"/>
            <w:vAlign w:val="center"/>
          </w:tcPr>
          <w:p>
            <w:pPr>
              <w:pStyle w:val="TableContents"/>
              <w:bidi w:val="0"/>
              <w:spacing w:before="0" w:after="283"/>
              <w:jc w:val="left"/>
              <w:rPr>
                <w:sz w:val="20"/>
              </w:rPr>
            </w:pPr>
            <w:r>
              <w:rPr>
                <w:sz w:val="20"/>
              </w:rPr>
              <w:t>Income taxes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(304</w:t>
            </w:r>
          </w:p>
        </w:tc>
        <w:tc>
          <w:tcPr>
            <w:tcW w:w="125"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358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(287</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65" w:type="dxa"/>
            <w:tcBorders/>
            <w:shd w:fill="CCEEFF" w:val="clear"/>
            <w:vAlign w:val="center"/>
          </w:tcPr>
          <w:p>
            <w:pPr>
              <w:pStyle w:val="TableContents"/>
              <w:bidi w:val="0"/>
              <w:spacing w:before="0" w:after="283"/>
              <w:jc w:val="left"/>
              <w:rPr>
                <w:sz w:val="20"/>
              </w:rPr>
            </w:pPr>
            <w:r>
              <w:rPr>
                <w:sz w:val="20"/>
              </w:rPr>
              <w:t>Financial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871</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4,039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1,571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6,811</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Financial income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(1,113</w:t>
            </w:r>
          </w:p>
        </w:tc>
        <w:tc>
          <w:tcPr>
            <w:tcW w:w="125"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(987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(2,205</w:t>
            </w:r>
          </w:p>
        </w:tc>
        <w:tc>
          <w:tcPr>
            <w:tcW w:w="114" w:type="dxa"/>
            <w:tcBorders/>
            <w:shd w:fill="FFFFFF" w:val="clear"/>
            <w:vAlign w:val="center"/>
          </w:tcPr>
          <w:p>
            <w:pPr>
              <w:pStyle w:val="TableContents"/>
              <w:bidi w:val="0"/>
              <w:spacing w:before="0" w:after="283"/>
              <w:jc w:val="left"/>
              <w:rPr>
                <w:sz w:val="20"/>
              </w:rPr>
            </w:pPr>
            <w:r>
              <w:rPr>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(2,884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3665" w:type="dxa"/>
            <w:tcBorders/>
            <w:shd w:fill="CCEEFF" w:val="clear"/>
            <w:vAlign w:val="center"/>
          </w:tcPr>
          <w:p>
            <w:pPr>
              <w:pStyle w:val="TableContents"/>
              <w:bidi w:val="0"/>
              <w:spacing w:before="0" w:after="283"/>
              <w:jc w:val="left"/>
              <w:rPr>
                <w:b/>
                <w:sz w:val="20"/>
              </w:rPr>
            </w:pPr>
            <w:r>
              <w:rPr>
                <w:b/>
                <w:sz w:val="20"/>
              </w:rPr>
              <w:t>Operating (loss)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2,785</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sz w:val="20"/>
              </w:rPr>
            </w:pPr>
            <w:r>
              <w:rPr>
                <w:b/>
                <w:sz w:val="20"/>
              </w:rPr>
              <w:t>2,730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4,876</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b/>
                <w:sz w:val="20"/>
              </w:rPr>
            </w:pPr>
            <w:r>
              <w:rPr>
                <w:b/>
                <w:sz w:val="20"/>
              </w:rPr>
              <w:t>3,303</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5,712</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5,230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11,291</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10,731</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Corporate research and development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935</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1,813</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2,100</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sz w:val="20"/>
              </w:rPr>
            </w:pPr>
            <w:r>
              <w:rPr>
                <w:sz w:val="20"/>
              </w:rPr>
              <w:t>Corporate headquarter costs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3,219</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2,895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6,215</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5,747</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Other operating income (expense)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(1,151</w:t>
            </w:r>
          </w:p>
        </w:tc>
        <w:tc>
          <w:tcPr>
            <w:tcW w:w="125"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(810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(2,125</w:t>
            </w:r>
          </w:p>
        </w:tc>
        <w:tc>
          <w:tcPr>
            <w:tcW w:w="114" w:type="dxa"/>
            <w:tcBorders/>
            <w:shd w:fill="CCEEFF" w:val="clear"/>
            <w:vAlign w:val="center"/>
          </w:tcPr>
          <w:p>
            <w:pPr>
              <w:pStyle w:val="TableContents"/>
              <w:bidi w:val="0"/>
              <w:spacing w:before="0" w:after="283"/>
              <w:jc w:val="left"/>
              <w:rPr>
                <w:sz w:val="20"/>
              </w:rPr>
            </w:pPr>
            <w:r>
              <w:rPr>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(1,498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3665" w:type="dxa"/>
            <w:tcBorders/>
            <w:shd w:fill="FFFFFF" w:val="clear"/>
            <w:vAlign w:val="center"/>
          </w:tcPr>
          <w:p>
            <w:pPr>
              <w:pStyle w:val="TableContents"/>
              <w:bidi w:val="0"/>
              <w:spacing w:before="0" w:after="283"/>
              <w:jc w:val="left"/>
              <w:rPr>
                <w:sz w:val="20"/>
              </w:rPr>
            </w:pPr>
            <w:r>
              <w:rPr>
                <w:sz w:val="20"/>
              </w:rPr>
              <w:t>Impairments (1)</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689</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756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sz w:val="20"/>
              </w:rPr>
            </w:pPr>
            <w:r>
              <w:rPr>
                <w:sz w:val="20"/>
              </w:rPr>
              <w:t>Segment restructuring and reorganization (2)</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59</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59</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sz w:val="20"/>
              </w:rPr>
            </w:pPr>
            <w:r>
              <w:rPr>
                <w:sz w:val="20"/>
              </w:rPr>
              <w:t>178</w:t>
            </w:r>
          </w:p>
        </w:tc>
        <w:tc>
          <w:tcPr>
            <w:tcW w:w="9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sz w:val="20"/>
              </w:rPr>
            </w:pPr>
            <w:r>
              <w:rPr>
                <w:b/>
                <w:sz w:val="20"/>
              </w:rPr>
              <w:t>Segment adjusted EBITDA</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sz w:val="20"/>
              </w:rPr>
            </w:pPr>
            <w:r>
              <w:rPr>
                <w:b/>
                <w:sz w:val="20"/>
              </w:rPr>
              <w:t>12,248</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sz w:val="20"/>
              </w:rPr>
            </w:pPr>
            <w:r>
              <w:rPr>
                <w:b/>
                <w:sz w:val="20"/>
              </w:rPr>
              <w:t>11,294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22,886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b/>
                <w:sz w:val="20"/>
              </w:rPr>
            </w:pPr>
            <w:r>
              <w:rPr>
                <w:b/>
                <w:sz w:val="20"/>
              </w:rPr>
              <w:t>20,561</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Impairments represent the impairment of tangible and intangible assets of RapidFit NV and Eyewear resulting from the transfer of the assets to their respective management teams.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Costs related to restructuring activities and organizational changes within specific reported business segments, including personnel-related and other associated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3759</Words>
  <Characters>19690</Characters>
  <CharactersWithSpaces>24524</CharactersWithSpaces>
  <Paragraphs>2986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