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963d1_6k.htm"/>
      <w:bookmarkStart w:id="1" w:name="kstm2624963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85"/>
        <w:gridCol w:w="60"/>
        <w:gridCol w:w="3740"/>
      </w:tblGrid>
      <w:tr>
        <w:trPr/>
        <w:tc>
          <w:tcPr>
            <w:tcW w:w="785" w:type="dxa"/>
            <w:tcBorders/>
            <w:vAlign w:val="center"/>
          </w:tcPr>
          <w:p>
            <w:pPr>
              <w:pStyle w:val="TableContents"/>
              <w:bidi w:val="0"/>
              <w:spacing w:before="0" w:after="283"/>
              <w:jc w:val="left"/>
              <w:rPr>
                <w:b/>
              </w:rPr>
            </w:pPr>
            <w:r>
              <w:rPr>
                <w:b/>
              </w:rPr>
              <w:t>Exhibit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4963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hyperlink w:anchor="tm2624963d1_ex99-1.htm">
              <w:r>
                <w:rPr>
                  <w:rStyle w:val="InternetLink"/>
                </w:rPr>
                <w:t>Press Release dated September 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pPr>
            <w:r>
              <w:rPr/>
              <w:t>MATERIALISE NV</w:t>
            </w:r>
          </w:p>
        </w:tc>
        <w:tc>
          <w:tcPr>
            <w:tcW w:w="75" w:type="dxa"/>
            <w:tcBorders/>
            <w:vAlign w:val="center"/>
          </w:tcPr>
          <w:p>
            <w:pPr>
              <w:pStyle w:val="TableContents"/>
              <w:bidi w:val="0"/>
              <w:spacing w:before="0" w:after="283"/>
              <w:jc w:val="left"/>
              <w:rPr/>
            </w:pPr>
            <w:r>
              <w:rPr/>
              <w:t> </w:t>
            </w:r>
          </w:p>
        </w:tc>
      </w:tr>
      <w:tr>
        <w:trPr/>
        <w:tc>
          <w:tcPr>
            <w:tcW w:w="3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510" w:type="dxa"/>
            <w:tcBorders>
              <w:bottom w:val="single" w:sz="8" w:space="0" w:color="000000"/>
            </w:tcBorders>
            <w:tcMar>
              <w:bottom w:w="28" w:type="dxa"/>
            </w:tcMar>
            <w:vAlign w:val="center"/>
          </w:tcPr>
          <w:p>
            <w:pPr>
              <w:pStyle w:val="TableContents"/>
              <w:bidi w:val="0"/>
              <w:spacing w:before="0" w:after="283"/>
              <w:jc w:val="left"/>
              <w:rPr/>
            </w:pPr>
            <w:r>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510" w:type="dxa"/>
            <w:tcBorders/>
            <w:vAlign w:val="center"/>
          </w:tcPr>
          <w:p>
            <w:pPr>
              <w:pStyle w:val="TableContents"/>
              <w:bidi w:val="0"/>
              <w:spacing w:before="0" w:after="283"/>
              <w:jc w:val="left"/>
              <w:rPr/>
            </w:pPr>
            <w:r>
              <w:rPr/>
              <w:t>Brigitte de Vet-Veithen</w:t>
            </w:r>
          </w:p>
        </w:tc>
        <w:tc>
          <w:tcPr>
            <w:tcW w:w="75" w:type="dxa"/>
            <w:tcBorders/>
            <w:vAlign w:val="center"/>
          </w:tcPr>
          <w:p>
            <w:pPr>
              <w:pStyle w:val="TableContents"/>
              <w:bidi w:val="0"/>
              <w:spacing w:before="0" w:after="283"/>
              <w:jc w:val="left"/>
              <w:rPr/>
            </w:pPr>
            <w:r>
              <w:rPr/>
              <w:t> </w:t>
            </w:r>
          </w:p>
        </w:tc>
      </w:tr>
      <w:tr>
        <w:trPr/>
        <w:tc>
          <w:tcPr>
            <w:tcW w:w="3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51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624963d1_ex99-1.htm"/>
      <w:bookmarkStart w:id="3" w:name="kstm2624963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764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809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530"/>
        <w:gridCol w:w="2030"/>
      </w:tblGrid>
      <w:tr>
        <w:trPr/>
        <w:tc>
          <w:tcPr>
            <w:tcW w:w="3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Leuven – 7 September 2026 – 22h00 CET</w:t>
            </w:r>
          </w:p>
        </w:tc>
        <w:tc>
          <w:tcPr>
            <w:tcW w:w="203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Regulated information</w:t>
            </w:r>
            <w:r>
              <w:rPr>
                <w:rFonts w:ascii="Times New Roman;Times;Serif" w:hAnsi="Times New Roman;Times;Serif"/>
                <w:b/>
                <w:position w:val="7"/>
                <w:sz w:val="16"/>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September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73,335 Materialise shares in the period from 31 August 2026 up to and including 4 September 2026. The shares were repurchased at an average price of 6.18 EUR per share for a total consideration of 453,314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73,335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28" w:type="dxa"/>
          <w:right w:w="0" w:type="dxa"/>
        </w:tblCellMar>
      </w:tblPr>
      <w:tblGrid>
        <w:gridCol w:w="1475"/>
        <w:gridCol w:w="60"/>
        <w:gridCol w:w="860"/>
        <w:gridCol w:w="60"/>
        <w:gridCol w:w="84"/>
        <w:gridCol w:w="835"/>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 xml:space="preserve">amount </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 xml:space="preserve">amount </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31-Aug-2026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128,462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73,335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453,314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525,823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1,279,715 shares for a total amount of 6,446,397 EUR (7,532,366 USD) under the share buy-back program. This corresponds to 2.2%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1,279,715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764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76450" cy="809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3289</Characters>
  <CharactersWithSpaces>3956</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