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407d1_6k.htm"/>
      <w:bookmarkStart w:id="1" w:name="kstm262740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65"/>
        <w:gridCol w:w="60"/>
        <w:gridCol w:w="3065"/>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740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hyperlink w:anchor="tm2627407d1_ex99-1.htm">
              <w:r>
                <w:rPr>
                  <w:rStyle w:val="InternetLink"/>
                  <w:rFonts w:ascii="Times New Roman;Times;Serif" w:hAnsi="Times New Roman;Times;Serif"/>
                  <w:sz w:val="20"/>
                </w:rPr>
                <w:t>Press Release dated October 12,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NV</w:t>
      </w:r>
    </w:p>
    <w:p>
      <w:pPr>
        <w:pStyle w:val="TextBody"/>
        <w:bidi w:val="0"/>
        <w:spacing w:before="0" w:after="283"/>
        <w:jc w:val="left"/>
        <w:rPr/>
      </w:pPr>
      <w:r>
        <w:rPr/>
        <w:t> </w:t>
      </w:r>
    </w:p>
    <w:tbl>
      <w:tblPr>
        <w:tblW w:w="2800" w:type="dxa"/>
        <w:jc w:val="left"/>
        <w:tblInd w:w="0" w:type="dxa"/>
        <w:tblLayout w:type="fixed"/>
        <w:tblCellMar>
          <w:top w:w="0" w:type="dxa"/>
          <w:left w:w="0" w:type="dxa"/>
          <w:bottom w:w="0" w:type="dxa"/>
          <w:right w:w="0" w:type="dxa"/>
        </w:tblCellMar>
      </w:tblPr>
      <w:tblGrid>
        <w:gridCol w:w="560"/>
        <w:gridCol w:w="216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 Vet Management BV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7407d1_ex99-1.htm"/>
      <w:bookmarkStart w:id="3" w:name="kstm2627407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204787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7905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MATERIALISE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Leuven – 12 October 2026 – 22h00 CET</w:t>
      </w:r>
      <w:r>
        <w:rPr>
          <w:rFonts w:ascii="Times New Roman;Times;Serif" w:hAnsi="Times New Roman;Times;Serif"/>
          <w:b w:val="false"/>
          <w:i w:val="false"/>
          <w:caps w:val="false"/>
          <w:smallCaps w:val="false"/>
          <w:sz w:val="20"/>
        </w:rPr>
        <w:tab/>
      </w:r>
      <w:r>
        <w:rPr>
          <w:rFonts w:ascii="Times New Roman;Times;Serif" w:hAnsi="Times New Roman;Times;Serif"/>
          <w:b/>
          <w:i w:val="false"/>
          <w:caps w:val="false"/>
          <w:smallCaps w:val="false"/>
          <w:sz w:val="20"/>
        </w:rPr>
        <w:t>Regulated information</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October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130,592 Materialise shares in the period from 5 October 2026 up to and including 9 October 2026. The shares were repurchased at an average price of 7.47 EUR per share for a total consideration of 975,791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130,592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6120" w:type="dxa"/>
        <w:jc w:val="left"/>
        <w:tblInd w:w="-10" w:type="dxa"/>
        <w:tblLayout w:type="fixed"/>
        <w:tblCellMar>
          <w:top w:w="28" w:type="dxa"/>
          <w:left w:w="108" w:type="dxa"/>
          <w:bottom w:w="28" w:type="dxa"/>
          <w:right w:w="108" w:type="dxa"/>
        </w:tblCellMar>
      </w:tblPr>
      <w:tblGrid>
        <w:gridCol w:w="1475"/>
        <w:gridCol w:w="860"/>
        <w:gridCol w:w="965"/>
        <w:gridCol w:w="800"/>
        <w:gridCol w:w="980"/>
        <w:gridCol w:w="1040"/>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Date of </w:t>
              <w:br/>
              <w:t>repurchase</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Exchange</w:t>
            </w:r>
          </w:p>
        </w:tc>
        <w:tc>
          <w:tcPr>
            <w:tcW w:w="9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shares</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 xml:space="preserve">amount </w:t>
              <w:br/>
              <w:t>(EUR)</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amount</w:t>
              <w:br/>
              <w:t>(USD)</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br/>
              <w:t>price (EUR)</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05-Oct-2026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06-Oct-2026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19,747</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149,621</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168,608</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7.58</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07-Oct-2026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15,698</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119,786</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133,885</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7.63</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08-Oct-2026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39,449</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296,721</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331,912</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7.52</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09-Oct-2026</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55,698</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409,663</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459,068</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7.36</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of the week</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130,592</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975,791</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1,093,473</w:t>
            </w:r>
          </w:p>
        </w:tc>
        <w:tc>
          <w:tcPr>
            <w:tcW w:w="10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7.47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1,626,021 shares for a total amount of 8,975,171 EUR (10,374,203 USD) under the share buy-back program. This corresponds to 2.8% of the total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1,626,021 of its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3274</Characters>
  <CharactersWithSpaces>3849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