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788d1_6k.htm"/>
      <w:bookmarkStart w:id="1" w:name="kstm2620788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Technologielaan 15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3001 Leuven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Belgium</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85"/>
        <w:gridCol w:w="60"/>
        <w:gridCol w:w="3245"/>
      </w:tblGrid>
      <w:tr>
        <w:trPr/>
        <w:tc>
          <w:tcPr>
            <w:tcW w:w="7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0788d1_ex99-1.htm">
              <w:r>
                <w:rPr>
                  <w:rStyle w:val="InternetLink"/>
                  <w:rFonts w:ascii="Times New Roman;Times;Serif" w:hAnsi="Times New Roman;Times;Serif"/>
                </w:rPr>
                <w:t>99.1</w:t>
              </w:r>
            </w:hyperlink>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hyperlink w:anchor="tm2620788d1_ex99-1.htm">
              <w:r>
                <w:rPr>
                  <w:rStyle w:val="InternetLink"/>
                  <w:rFonts w:ascii="Times New Roman;Times;Serif" w:hAnsi="Times New Roman;Times;Serif"/>
                </w:rPr>
                <w:t>Press Release dated July 20,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bookmarkStart w:id="2" w:name="tm2620788d1_ex99-1.htm"/>
      <w:bookmarkStart w:id="3" w:name="kstm2620788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r>
        <w:rPr>
          <w:caps w:val="false"/>
          <w:smallCaps w:val="false"/>
        </w:rPr>
        <w:drawing>
          <wp:inline distT="0" distB="0" distL="0" distR="0">
            <wp:extent cx="241935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10001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MATERIALISE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3125"/>
        <w:gridCol w:w="2105"/>
      </w:tblGrid>
      <w:tr>
        <w:trPr/>
        <w:tc>
          <w:tcPr>
            <w:tcW w:w="3125"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Leuven – 20 July 2026 – 22h00 CET</w:t>
            </w:r>
          </w:p>
        </w:tc>
        <w:tc>
          <w:tcPr>
            <w:tcW w:w="2105" w:type="dxa"/>
            <w:tcBorders/>
            <w:vAlign w:val="center"/>
          </w:tcPr>
          <w:p>
            <w:pPr>
              <w:pStyle w:val="TableContents"/>
              <w:bidi w:val="0"/>
              <w:spacing w:before="0" w:after="283"/>
              <w:jc w:val="right"/>
              <w:rPr>
                <w:caps w:val="false"/>
                <w:smallCaps w:val="false"/>
              </w:rPr>
            </w:pPr>
            <w:r>
              <w:rPr>
                <w:caps w:val="false"/>
                <w:smallCaps w:val="false"/>
              </w:rPr>
              <w:t> </w:t>
            </w:r>
            <w:r>
              <w:rPr>
                <w:rFonts w:ascii="Times New Roman;Times;Serif" w:hAnsi="Times New Roman;Times;Serif"/>
                <w:b/>
                <w:i w:val="false"/>
                <w:caps w:val="false"/>
                <w:smallCaps w:val="false"/>
                <w:sz w:val="20"/>
              </w:rPr>
              <w:t>Regulated information</w:t>
            </w:r>
            <w:r>
              <w:rPr>
                <w:rFonts w:ascii="Times New Roman;Times;Serif" w:hAnsi="Times New Roman;Times;Serif"/>
                <w:b/>
                <w:i w:val="false"/>
                <w:caps w:val="false"/>
                <w:smallCaps w:val="false"/>
                <w:position w:val="7"/>
                <w:sz w:val="16"/>
                <w:sz w:val="20"/>
              </w:rPr>
              <w:t>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20 July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51,168 Materialise shares in the period from 13 July 2026 up to and including 17 July 2026. The shares were repurchased at an average price of 5.84 EUR per share for a total consideration of 299,057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51,168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403" w:type="dxa"/>
        <w:jc w:val="left"/>
        <w:tblInd w:w="0" w:type="dxa"/>
        <w:tblLayout w:type="fixed"/>
        <w:tblCellMar>
          <w:top w:w="0" w:type="dxa"/>
          <w:left w:w="0" w:type="dxa"/>
          <w:bottom w:w="28" w:type="dxa"/>
          <w:right w:w="0" w:type="dxa"/>
        </w:tblCellMar>
      </w:tblPr>
      <w:tblGrid>
        <w:gridCol w:w="1475"/>
        <w:gridCol w:w="60"/>
        <w:gridCol w:w="60"/>
        <w:gridCol w:w="800"/>
        <w:gridCol w:w="60"/>
        <w:gridCol w:w="60"/>
        <w:gridCol w:w="84"/>
        <w:gridCol w:w="835"/>
        <w:gridCol w:w="60"/>
        <w:gridCol w:w="60"/>
        <w:gridCol w:w="60"/>
        <w:gridCol w:w="695"/>
        <w:gridCol w:w="60"/>
        <w:gridCol w:w="60"/>
        <w:gridCol w:w="60"/>
        <w:gridCol w:w="695"/>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 xml:space="preserve">amount </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 xml:space="preserve">amount </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39,018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9,310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55,791</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63,630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12,479</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14,233</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5.93</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31,677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36,324</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5.87</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28,654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164,955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188,626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51,168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299,057</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341,832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5.84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1,157,574 shares for a total amount of 5,732,380 EUR (6,686,460 USD) under the share buy-back program. This corresponds to 2.0% of the total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1,157,574 of its own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will be updated on a weekly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38"/>
        <w:gridCol w:w="140"/>
        <w:gridCol w:w="10027"/>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pPr>
            <w:r>
              <w:rPr/>
              <w:t>1</w:t>
            </w:r>
          </w:p>
        </w:tc>
        <w:tc>
          <w:tcPr>
            <w:tcW w:w="10027"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41935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19350" cy="100012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578</Words>
  <Characters>3257</Characters>
  <CharactersWithSpaces>3943</CharactersWithSpaces>
  <Paragraphs>268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