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256d1_6k.htm"/>
      <w:bookmarkStart w:id="1" w:name="kstm2620256d1_6k"/>
      <w:bookmarkEnd w:id="0"/>
      <w:bookmarkEnd w:id="1"/>
      <w:r>
        <w:rPr/>
        <w:t> </w:t>
      </w:r>
    </w:p>
    <w:p>
      <w:pPr>
        <w:pStyle w:val="TextBody"/>
        <w:bidi w:val="0"/>
        <w:spacing w:before="0" w:after="283"/>
        <w:jc w:val="left"/>
        <w:rPr/>
      </w:pPr>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Technologielaan 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3001 Leuven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hereto is a copy of a press release regarding Materialise NV’s ADS Buyback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665"/>
        <w:gridCol w:w="60"/>
        <w:gridCol w:w="2765"/>
      </w:tblGrid>
      <w:tr>
        <w:trPr/>
        <w:tc>
          <w:tcPr>
            <w:tcW w:w="6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20256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hyperlink w:anchor="tm2620256d1_ex99-1.htm">
              <w:r>
                <w:rPr>
                  <w:rStyle w:val="InternetLink"/>
                  <w:rFonts w:ascii="Times New Roman;Times;Serif" w:hAnsi="Times New Roman;Times;Serif"/>
                  <w:sz w:val="20"/>
                </w:rPr>
                <w:t>Press Release dated July 13,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65"/>
        <w:gridCol w:w="2510"/>
        <w:gridCol w:w="75"/>
      </w:tblGrid>
      <w:tr>
        <w:trPr/>
        <w:tc>
          <w:tcPr>
            <w:tcW w:w="3175" w:type="dxa"/>
            <w:gridSpan w:val="2"/>
            <w:tcBorders/>
            <w:vAlign w:val="center"/>
          </w:tcPr>
          <w:p>
            <w:pPr>
              <w:pStyle w:val="TableContents"/>
              <w:bidi w:val="0"/>
              <w:spacing w:before="0" w:after="283"/>
              <w:jc w:val="left"/>
              <w:rPr/>
            </w:pPr>
            <w:r>
              <w:rPr/>
              <w:t>MATERIALISE NV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2510" w:type="dxa"/>
            <w:tcBorders>
              <w:bottom w:val="single" w:sz="8" w:space="0" w:color="000000"/>
            </w:tcBorders>
            <w:tcMar>
              <w:bottom w:w="28" w:type="dxa"/>
            </w:tcMar>
            <w:vAlign w:val="center"/>
          </w:tcPr>
          <w:p>
            <w:pPr>
              <w:pStyle w:val="TableContents"/>
              <w:bidi w:val="0"/>
              <w:spacing w:before="0" w:after="283"/>
              <w:jc w:val="left"/>
              <w:rPr/>
            </w:pPr>
            <w:r>
              <w:rPr/>
              <w:t>/s/ 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510" w:type="dxa"/>
            <w:tcBorders/>
            <w:vAlign w:val="center"/>
          </w:tcPr>
          <w:p>
            <w:pPr>
              <w:pStyle w:val="TableContents"/>
              <w:bidi w:val="0"/>
              <w:spacing w:before="0" w:after="283"/>
              <w:jc w:val="left"/>
              <w:rPr/>
            </w:pPr>
            <w:r>
              <w:rPr/>
              <w:t>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De Vet Management BV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510"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620256d1_ex99-1.htm"/>
      <w:bookmarkStart w:id="3" w:name="kstm2620256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2047875"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79057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MATERIALISE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SHARE-BUY BACK PROGRAM</w:t>
      </w:r>
    </w:p>
    <w:p>
      <w:pPr>
        <w:pStyle w:val="TextBody"/>
        <w:bidi w:val="0"/>
        <w:spacing w:before="0" w:after="0"/>
        <w:ind w:left="0" w:right="0" w:hanging="0"/>
        <w:jc w:val="center"/>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3125"/>
        <w:gridCol w:w="60"/>
        <w:gridCol w:w="2045"/>
      </w:tblGrid>
      <w:tr>
        <w:trPr/>
        <w:tc>
          <w:tcPr>
            <w:tcW w:w="3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Leuven – 13 July 2026 – 22h00 CET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Regulated information</w:t>
            </w:r>
            <w:r>
              <w:rPr>
                <w:rFonts w:ascii="Times New Roman;Times;Serif" w:hAnsi="Times New Roman;Times;Serif"/>
                <w:b/>
                <w:i w:val="false"/>
                <w:caps w:val="false"/>
                <w:smallCaps w:val="false"/>
                <w:position w:val="7"/>
                <w:sz w:val="16"/>
                <w:sz w:val="20"/>
              </w:rPr>
              <w:t>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on the progress of its share buy-back program announced on 30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July 2026</w:t>
      </w:r>
      <w:r>
        <w:rPr>
          <w:rFonts w:ascii="Times New Roman;Times;Serif" w:hAnsi="Times New Roman;Times;Serif"/>
          <w:b w:val="false"/>
          <w:i w:val="false"/>
          <w:caps w:val="false"/>
          <w:smallCaps w:val="false"/>
          <w:sz w:val="20"/>
        </w:rPr>
        <w:t xml:space="preserve"> – Materialise NV (Euronext: MTLS) (Nasdaq: MTLS) (“Materialise”) (“the Company”) hereby discloses certain information in relation to 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the purchase of 26,064 Materialise shares in the period from 6 July 2026 up to and including 10 July 2026. The shares were repurchased at an average price of 6.20 EUR per share for a total consideration of 161,718 EUR.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26,064 shares were repurchased through the central order book of the following exchanges:</w:t>
      </w:r>
    </w:p>
    <w:p>
      <w:pPr>
        <w:pStyle w:val="TextBody"/>
        <w:bidi w:val="0"/>
        <w:spacing w:before="0" w:after="0"/>
        <w:ind w:left="0" w:right="0" w:hanging="0"/>
        <w:jc w:val="left"/>
        <w:rPr>
          <w:caps w:val="false"/>
          <w:smallCaps w:val="false"/>
        </w:rPr>
      </w:pPr>
      <w:r>
        <w:rPr>
          <w:caps w:val="false"/>
          <w:smallCaps w:val="false"/>
        </w:rPr>
        <w:t> </w:t>
      </w:r>
    </w:p>
    <w:tbl>
      <w:tblPr>
        <w:tblW w:w="6388" w:type="dxa"/>
        <w:jc w:val="left"/>
        <w:tblInd w:w="0" w:type="dxa"/>
        <w:tblLayout w:type="fixed"/>
        <w:tblCellMar>
          <w:top w:w="0" w:type="dxa"/>
          <w:left w:w="0" w:type="dxa"/>
          <w:bottom w:w="28" w:type="dxa"/>
          <w:right w:w="0" w:type="dxa"/>
        </w:tblCellMar>
      </w:tblPr>
      <w:tblGrid>
        <w:gridCol w:w="1475"/>
        <w:gridCol w:w="60"/>
        <w:gridCol w:w="860"/>
        <w:gridCol w:w="60"/>
        <w:gridCol w:w="88"/>
        <w:gridCol w:w="876"/>
        <w:gridCol w:w="60"/>
        <w:gridCol w:w="60"/>
        <w:gridCol w:w="60"/>
        <w:gridCol w:w="695"/>
        <w:gridCol w:w="60"/>
        <w:gridCol w:w="60"/>
        <w:gridCol w:w="60"/>
        <w:gridCol w:w="695"/>
        <w:gridCol w:w="60"/>
        <w:gridCol w:w="60"/>
        <w:gridCol w:w="138"/>
        <w:gridCol w:w="886"/>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 xml:space="preserve">amount </w:t>
              <w:br/>
              <w:t>(EUR)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br/>
              <w:t xml:space="preserve">amount </w:t>
              <w:br/>
              <w:t>(USD)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price (EUR)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06-Jul-2026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43,777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07-Jul-2026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31,099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08-Jul-2026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09-Jul-2026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10-Jul-2026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 the week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26,064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161,718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184,632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were repurchased through cross trades or block trades.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start of the share buy-back program on the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January 2026, Materialise has bought back 1,106,406 shares for a total amount of 5,433,323 EUR (6,344,629 USD) under the share buy-back program. This corresponds to 1.9% of the total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currently holds 1,106,406 of its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overview relating to the share buy-back program is available on </w:t>
      </w:r>
      <w:r>
        <w:rPr>
          <w:rFonts w:ascii="Times New Roman;Times;Serif" w:hAnsi="Times New Roman;Times;Serif"/>
          <w:b w:val="false"/>
          <w:i w:val="false"/>
          <w:caps w:val="false"/>
          <w:smallCaps w:val="false"/>
          <w:sz w:val="20"/>
          <w:u w:val="single"/>
        </w:rPr>
        <w:t>https://investors.materialise.com/</w:t>
      </w:r>
      <w:r>
        <w:rPr>
          <w:rFonts w:ascii="Times New Roman;Times;Serif" w:hAnsi="Times New Roman;Times;Serif"/>
          <w:b w:val="false"/>
          <w:i w:val="false"/>
          <w:caps w:val="false"/>
          <w:smallCaps w:val="false"/>
          <w:sz w:val="20"/>
        </w:rPr>
        <w:t xml:space="preserve"> and will be updated on a weekly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3" w:type="dxa"/>
            <w:tcBorders/>
            <w:vAlign w:val="center"/>
          </w:tcPr>
          <w:p>
            <w:pPr>
              <w:pStyle w:val="TableContents"/>
              <w:bidi w:val="0"/>
              <w:spacing w:before="0" w:after="283"/>
              <w:jc w:val="both"/>
              <w:rPr/>
            </w:pPr>
            <w:r>
              <w:rPr/>
              <w:t>The enclosed information constitutes regulated information as defined in the Belgian Royal Decree of 14 November 2007 regarding the duties of issuers of financial instruments which have been admitted for trading on a regulated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680" w:right="0" w:hanging="680"/>
        <w:jc w:val="both"/>
        <w:rPr>
          <w:caps w:val="false"/>
          <w:smallCaps w:val="false"/>
        </w:rPr>
      </w:pPr>
      <w:r>
        <w:rPr>
          <w:caps w:val="false"/>
          <w:smallCaps w:val="false"/>
        </w:rPr>
        <w:t> </w:t>
      </w:r>
    </w:p>
    <w:p>
      <w:pPr>
        <w:pStyle w:val="TextBody"/>
        <w:bidi w:val="0"/>
        <w:spacing w:before="0" w:after="0"/>
        <w:ind w:left="680" w:right="0" w:hanging="680"/>
        <w:jc w:val="right"/>
        <w:rPr>
          <w:caps w:val="false"/>
          <w:smallCaps w:val="false"/>
        </w:rPr>
      </w:pPr>
      <w:r>
        <w:rPr>
          <w:caps w:val="false"/>
          <w:smallCaps w:val="false"/>
        </w:rPr>
        <w:drawing>
          <wp:inline distT="0" distB="0" distL="0" distR="0">
            <wp:extent cx="2047875"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47875" cy="790575"/>
                    </a:xfrm>
                    <a:prstGeom prst="rect">
                      <a:avLst/>
                    </a:prstGeom>
                  </pic:spPr>
                </pic:pic>
              </a:graphicData>
            </a:graphic>
          </wp:inline>
        </w:drawing>
      </w:r>
      <w:r>
        <w:rPr>
          <w:caps w:val="false"/>
          <w:smallCaps w:val="false"/>
        </w:rPr>
        <w:t> </w:t>
      </w:r>
    </w:p>
    <w:p>
      <w:pPr>
        <w:pStyle w:val="TextBody"/>
        <w:bidi w:val="0"/>
        <w:spacing w:before="0" w:after="0"/>
        <w:ind w:left="680" w:right="0" w:hanging="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Materialise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3254</Characters>
  <CharactersWithSpaces>3930</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