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164465</wp:posOffset>
            </wp:positionV>
            <wp:extent cx="1843405"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34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9"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18"/>
          <w:szCs w:val="18"/>
          <w:b w:val="1"/>
          <w:bCs w:val="1"/>
          <w:color w:val="auto"/>
        </w:rPr>
        <w:t>Leuven – 26 October 2026 – 22h00 CET</w:t>
      </w:r>
      <w:r>
        <w:rPr>
          <w:sz w:val="20"/>
          <w:szCs w:val="20"/>
          <w:color w:val="auto"/>
        </w:rPr>
        <w:tab/>
      </w:r>
      <w:r>
        <w:rPr>
          <w:rFonts w:ascii="Times New Roman" w:cs="Times New Roman" w:eastAsia="Times New Roman" w:hAnsi="Times New Roman"/>
          <w:sz w:val="27"/>
          <w:szCs w:val="27"/>
          <w:b w:val="1"/>
          <w:bCs w:val="1"/>
          <w:color w:val="auto"/>
          <w:vertAlign w:val="subscript"/>
        </w:rPr>
        <w:t>Regulated information</w:t>
      </w:r>
      <w:r>
        <w:rPr>
          <w:rFonts w:ascii="Times New Roman" w:cs="Times New Roman" w:eastAsia="Times New Roman" w:hAnsi="Times New Roman"/>
          <w:sz w:val="22"/>
          <w:szCs w:val="22"/>
          <w:b w:val="1"/>
          <w:bCs w:val="1"/>
          <w:color w:val="auto"/>
          <w:vertAlign w:val="superscript"/>
        </w:rPr>
        <w:t>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26 October 2026 </w:t>
      </w:r>
      <w:r>
        <w:rPr>
          <w:rFonts w:ascii="Times New Roman" w:cs="Times New Roman" w:eastAsia="Times New Roman" w:hAnsi="Times New Roman"/>
          <w:sz w:val="18"/>
          <w:szCs w:val="18"/>
          <w:color w:val="auto"/>
        </w:rPr>
        <w:t>– Materialise NV (Euronext: MTLS) (Nasdaq: MTLS) (“Materialise”) (“the Company”) hereby discloses certain information in relation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50,211 Materialise shares in the period from 19 October 2026 up to and including 23 October 2026. The shares were repurchased at an average price of 7.55 EUR per share for a total consideration of 379,205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50,211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repurchase</w:t>
            </w:r>
          </w:p>
        </w:tc>
        <w:tc>
          <w:tcPr>
            <w:tcW w:w="20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price (EUR)</w:t>
            </w:r>
          </w:p>
        </w:tc>
      </w:tr>
      <w:tr>
        <w:trPr>
          <w:trHeight w:val="209"/>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19-Oct-2026</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NASDAQ</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20-Oct-2026</w:t>
            </w:r>
          </w:p>
        </w:tc>
        <w:tc>
          <w:tcPr>
            <w:tcW w:w="2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NASDAQ</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35,215</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39,494</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21-Oct-2026</w:t>
            </w:r>
          </w:p>
        </w:tc>
        <w:tc>
          <w:tcPr>
            <w:tcW w:w="20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NASDAQ</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22-Oct-2026</w:t>
            </w:r>
          </w:p>
        </w:tc>
        <w:tc>
          <w:tcPr>
            <w:tcW w:w="2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NASDAQ</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18,112</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137,202</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153,735</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8"/>
                <w:szCs w:val="18"/>
                <w:color w:val="auto"/>
              </w:rPr>
            </w:pPr>
          </w:p>
        </w:tc>
      </w:tr>
      <w:tr>
        <w:trPr>
          <w:trHeight w:val="230"/>
        </w:trPr>
        <w:tc>
          <w:tcPr>
            <w:tcW w:w="36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23-Oct-2026</w:t>
            </w:r>
          </w:p>
        </w:tc>
        <w:tc>
          <w:tcPr>
            <w:tcW w:w="20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NASDAQ</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23,255</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178,762</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200,088</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9"/>
                <w:szCs w:val="19"/>
                <w:color w:val="auto"/>
              </w:rPr>
            </w:pPr>
          </w:p>
        </w:tc>
      </w:tr>
      <w:tr>
        <w:trPr>
          <w:trHeight w:val="210"/>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of the week</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379,205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424,776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1,783,026 shares for a total amount of 10,127,081 EUR (11,665,765 USD) under the share buy-back program. This corresponds to 3.0%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1,783,026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5497195</wp:posOffset>
            </wp:positionH>
            <wp:positionV relativeFrom="page">
              <wp:posOffset>586105</wp:posOffset>
            </wp:positionV>
            <wp:extent cx="1842770" cy="720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4277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2026-10-26T15:06:03Z</dcterms:created>
  <dcterms:modified xsi:type="dcterms:W3CDTF">2026-10-26T15:06:03Z</dcterms:modified>
</cp:coreProperties>
</file>