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174d1_6k.htm"/>
      <w:bookmarkStart w:id="1" w:name="kstm2626174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Technologielaan 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3001 Leuven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hereto is a copy of a press release regarding Materialise NV’s ADS Buyback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65"/>
        <w:gridCol w:w="60"/>
        <w:gridCol w:w="3275"/>
      </w:tblGrid>
      <w:tr>
        <w:trPr/>
        <w:tc>
          <w:tcPr>
            <w:tcW w:w="6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26174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hyperlink w:anchor="tm2626174d1_ex99-1.htm">
              <w:r>
                <w:rPr>
                  <w:rStyle w:val="InternetLink"/>
                  <w:rFonts w:ascii="Times New Roman;Times;Serif" w:hAnsi="Times New Roman;Times;Serif"/>
                  <w:sz w:val="20"/>
                </w:rPr>
                <w:t>Press Release dated September 28,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560"/>
        <w:gridCol w:w="2165"/>
        <w:gridCol w:w="75"/>
      </w:tblGrid>
      <w:tr>
        <w:trPr/>
        <w:tc>
          <w:tcPr>
            <w:tcW w:w="27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NV</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Brigitte de Vet-Veithen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Brigitte de Vet-Veithen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 Vet Management BV</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tm2626174d1_ex99-1.htm"/>
      <w:bookmarkStart w:id="3" w:name="kstm2626174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89050" cy="4940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9050" cy="49403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MATERIALISE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SHARE-BUY BACK PROGRAM</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4385"/>
        <w:gridCol w:w="2420"/>
      </w:tblGrid>
      <w:tr>
        <w:trPr/>
        <w:tc>
          <w:tcPr>
            <w:tcW w:w="4385" w:type="dxa"/>
            <w:tcBorders/>
            <w:vAlign w:val="center"/>
          </w:tcPr>
          <w:p>
            <w:pPr>
              <w:pStyle w:val="TableContents"/>
              <w:bidi w:val="0"/>
              <w:spacing w:before="0" w:after="283"/>
              <w:jc w:val="both"/>
              <w:rPr>
                <w:b/>
              </w:rPr>
            </w:pPr>
            <w:r>
              <w:rPr>
                <w:b/>
              </w:rPr>
              <w:t>Leuven – 28 September 2026 – 22h00 CET</w:t>
            </w:r>
          </w:p>
        </w:tc>
        <w:tc>
          <w:tcPr>
            <w:tcW w:w="2420" w:type="dxa"/>
            <w:tcBorders/>
            <w:vAlign w:val="center"/>
          </w:tcPr>
          <w:p>
            <w:pPr>
              <w:pStyle w:val="TableContents"/>
              <w:bidi w:val="0"/>
              <w:spacing w:before="0" w:after="283"/>
              <w:jc w:val="right"/>
              <w:rPr>
                <w:b/>
              </w:rPr>
            </w:pPr>
            <w:r>
              <w:rPr>
                <w:b/>
              </w:rPr>
              <w:t>Regulated information</w:t>
            </w:r>
            <w:r>
              <w:rPr>
                <w:b/>
                <w:position w:val="8"/>
                <w:sz w:val="19"/>
              </w:rPr>
              <w:t>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on the progress of its share buy-back program announced on 30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September 2026</w:t>
      </w:r>
      <w:r>
        <w:rPr>
          <w:rFonts w:ascii="Times New Roman;Times;Serif" w:hAnsi="Times New Roman;Times;Serif"/>
          <w:b w:val="false"/>
          <w:i w:val="false"/>
          <w:caps w:val="false"/>
          <w:smallCaps w:val="false"/>
          <w:sz w:val="20"/>
        </w:rPr>
        <w:t xml:space="preserve"> – Materialise NV (Euronext: MTLS) (Nasdaq: MTLS) (“Materialise”) (“the Company”) hereby discloses certain information in relation to 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the purchase of 31,306 Materialise shares in the period from 21 September 2026 up to and including 25 September 2026. The shares were repurchased at an average price of 6.99 EUR per share for a total consideration of 218,945 EUR.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31,306 shares were repurchased through the central order book of the following exchanges:</w:t>
      </w:r>
    </w:p>
    <w:p>
      <w:pPr>
        <w:pStyle w:val="TextBody"/>
        <w:bidi w:val="0"/>
        <w:spacing w:before="0" w:after="0"/>
        <w:ind w:left="0" w:right="0" w:hanging="0"/>
        <w:jc w:val="left"/>
        <w:rPr>
          <w:caps w:val="false"/>
          <w:smallCaps w:val="false"/>
        </w:rPr>
      </w:pPr>
      <w:r>
        <w:rPr>
          <w:caps w:val="false"/>
          <w:smallCaps w:val="false"/>
        </w:rPr>
        <w:t> </w:t>
      </w:r>
    </w:p>
    <w:tbl>
      <w:tblPr>
        <w:tblW w:w="7436" w:type="dxa"/>
        <w:jc w:val="left"/>
        <w:tblInd w:w="0" w:type="dxa"/>
        <w:tblLayout w:type="fixed"/>
        <w:tblCellMar>
          <w:top w:w="0" w:type="dxa"/>
          <w:left w:w="0" w:type="dxa"/>
          <w:bottom w:w="28" w:type="dxa"/>
          <w:right w:w="0" w:type="dxa"/>
        </w:tblCellMar>
      </w:tblPr>
      <w:tblGrid>
        <w:gridCol w:w="1475"/>
        <w:gridCol w:w="60"/>
        <w:gridCol w:w="430"/>
        <w:gridCol w:w="430"/>
        <w:gridCol w:w="60"/>
        <w:gridCol w:w="60"/>
        <w:gridCol w:w="84"/>
        <w:gridCol w:w="835"/>
        <w:gridCol w:w="60"/>
        <w:gridCol w:w="60"/>
        <w:gridCol w:w="93"/>
        <w:gridCol w:w="1081"/>
        <w:gridCol w:w="60"/>
        <w:gridCol w:w="60"/>
        <w:gridCol w:w="93"/>
        <w:gridCol w:w="1081"/>
        <w:gridCol w:w="60"/>
        <w:gridCol w:w="60"/>
        <w:gridCol w:w="164"/>
        <w:gridCol w:w="1055"/>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amount</w:t>
              <w:br/>
              <w:t>(EUR)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amount</w:t>
              <w:br/>
              <w:t>(USD)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w:t>
              <w:br/>
              <w:t>(EUR)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21-Sep-2026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22-Sep-2026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23-Sep-2026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24-Sep-2026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21,934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153,997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175,049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25-Sep-2026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49,389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 the week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31,306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218,945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249,256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were repurchased through cross trades or block trades.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start of the share buy-back program on the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January 2026, Materialise has bought back 1,386,527 shares for a total amount of 7,177,921 EUR (8,352,058 USD) under the share buy-back program. This corresponds to 2.3% of the total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currently holds 1,386,527 of its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overview relating to the share buy-back program is available on </w:t>
      </w:r>
      <w:r>
        <w:rPr>
          <w:rFonts w:ascii="Times New Roman;Times;Serif" w:hAnsi="Times New Roman;Times;Serif"/>
          <w:b w:val="false"/>
          <w:i w:val="false"/>
          <w:caps w:val="false"/>
          <w:smallCaps w:val="false"/>
          <w:sz w:val="20"/>
          <w:u w:val="single"/>
        </w:rPr>
        <w:t>https://investors.materialise.com/</w:t>
      </w:r>
      <w:r>
        <w:rPr>
          <w:rFonts w:ascii="Times New Roman;Times;Serif" w:hAnsi="Times New Roman;Times;Serif"/>
          <w:b w:val="false"/>
          <w:i w:val="false"/>
          <w:caps w:val="false"/>
          <w:smallCaps w:val="false"/>
          <w:sz w:val="20"/>
        </w:rPr>
        <w:t xml:space="preserve"> and will be updated on a weekly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The enclosed information constitutes regulated information as defined in the Belgian Royal Decree of 14 November 2007 regarding the duties of issuers of financial instruments which have been admitted for trading on a regulated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89050" cy="4940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9050" cy="49403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Materialise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3286</Characters>
  <CharactersWithSpaces>3959</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