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741d1_6k.htm"/>
      <w:bookmarkStart w:id="1" w:name="kstm2625741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65"/>
        <w:gridCol w:w="60"/>
        <w:gridCol w:w="327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5741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hyperlink w:anchor="tm2625741d1_ex99-1.htm">
              <w:r>
                <w:rPr>
                  <w:rStyle w:val="InternetLink"/>
                  <w:rFonts w:ascii="Times New Roman;Times;Serif" w:hAnsi="Times New Roman;Times;Serif"/>
                  <w:sz w:val="20"/>
                </w:rPr>
                <w:t>Press Release dated September 21,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5741d1_ex99-1.htm"/>
      <w:bookmarkStart w:id="3" w:name="kstm2625741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8575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1811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4400"/>
        <w:gridCol w:w="2435"/>
      </w:tblGrid>
      <w:tr>
        <w:trPr/>
        <w:tc>
          <w:tcPr>
            <w:tcW w:w="4400" w:type="dxa"/>
            <w:tcBorders/>
            <w:vAlign w:val="center"/>
          </w:tcPr>
          <w:p>
            <w:pPr>
              <w:pStyle w:val="TableContents"/>
              <w:bidi w:val="0"/>
              <w:spacing w:before="0" w:after="283"/>
              <w:jc w:val="left"/>
              <w:rPr>
                <w:b/>
              </w:rPr>
            </w:pPr>
            <w:r>
              <w:rPr>
                <w:b/>
              </w:rPr>
              <w:t>Leuven – 21 September 2026 – 22h00 CET</w:t>
            </w:r>
          </w:p>
        </w:tc>
        <w:tc>
          <w:tcPr>
            <w:tcW w:w="2435" w:type="dxa"/>
            <w:tcBorders/>
            <w:vAlign w:val="center"/>
          </w:tcPr>
          <w:p>
            <w:pPr>
              <w:pStyle w:val="TableContents"/>
              <w:bidi w:val="0"/>
              <w:spacing w:before="0" w:after="283"/>
              <w:jc w:val="right"/>
              <w:rPr>
                <w:b/>
              </w:rPr>
            </w:pPr>
            <w:r>
              <w:rPr>
                <w:b/>
              </w:rPr>
              <w:t>Regulated information</w:t>
            </w:r>
            <w:r>
              <w:rPr>
                <w:b/>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September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32,161 Materialise shares in the period from 14 September 2026 up to and including 18 September 2026. The shares were repurchased at an average price of 6.63 EUR per share for a total consideration of 213,270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32,161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7481" w:type="dxa"/>
        <w:jc w:val="left"/>
        <w:tblInd w:w="0" w:type="dxa"/>
        <w:tblLayout w:type="fixed"/>
        <w:tblCellMar>
          <w:top w:w="0" w:type="dxa"/>
          <w:left w:w="0" w:type="dxa"/>
          <w:bottom w:w="28" w:type="dxa"/>
          <w:right w:w="0" w:type="dxa"/>
        </w:tblCellMar>
      </w:tblPr>
      <w:tblGrid>
        <w:gridCol w:w="1475"/>
        <w:gridCol w:w="60"/>
        <w:gridCol w:w="60"/>
        <w:gridCol w:w="800"/>
        <w:gridCol w:w="60"/>
        <w:gridCol w:w="60"/>
        <w:gridCol w:w="84"/>
        <w:gridCol w:w="835"/>
        <w:gridCol w:w="60"/>
        <w:gridCol w:w="60"/>
        <w:gridCol w:w="93"/>
        <w:gridCol w:w="1081"/>
        <w:gridCol w:w="60"/>
        <w:gridCol w:w="60"/>
        <w:gridCol w:w="93"/>
        <w:gridCol w:w="1081"/>
        <w:gridCol w:w="60"/>
        <w:gridCol w:w="60"/>
        <w:gridCol w:w="170"/>
        <w:gridCol w:w="1094"/>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price </w:t>
              <w:br/>
              <w:t>(EUR)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213,270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245,771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1,355,221 shares for a total amount of 6,958,976 EUR (8,102,813 USD) under the share buy-back program. This corresponds to 2.3% of the total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1,355,221 of its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8575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11811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3273</Characters>
  <CharactersWithSpaces>3959</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