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164465</wp:posOffset>
            </wp:positionV>
            <wp:extent cx="1885950"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18"/>
          <w:szCs w:val="18"/>
          <w:b w:val="1"/>
          <w:bCs w:val="1"/>
          <w:color w:val="auto"/>
        </w:rPr>
        <w:t>Leuven – 15 June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 June 2026 </w:t>
      </w:r>
      <w:r>
        <w:rPr>
          <w:rFonts w:ascii="Times New Roman" w:cs="Times New Roman" w:eastAsia="Times New Roman" w:hAnsi="Times New Roman"/>
          <w:sz w:val="18"/>
          <w:szCs w:val="18"/>
          <w:color w:val="auto"/>
        </w:rPr>
        <w:t>– Materialise NV (Euronext: MTLS) (Nasdaq: MTLS) (“Materialise”) (“the Company”) hereby discloses certain information in relation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64,272 Materialise shares in the period from 8 June 2026 up to and including 12 June 2026. The shares were repurchased at an average price of 5.71 EUR per share for a total consideration of 366,971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64,272 shares were repurchased through the central order book of the following exchanges: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 of repurchase</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amount (EUR)</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 amount (USD)</w:t>
            </w: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price (EUR)</w:t>
            </w:r>
          </w:p>
        </w:tc>
      </w:tr>
      <w:tr>
        <w:trPr>
          <w:trHeight w:val="209"/>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8-Jun-2026</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NASDAQ</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47,554</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9-Jun-2026</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NASDAQ</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106,174</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122,875</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18"/>
                <w:szCs w:val="18"/>
                <w:color w:val="auto"/>
              </w:rPr>
            </w:pPr>
          </w:p>
        </w:tc>
      </w:tr>
      <w:tr>
        <w:trPr>
          <w:trHeight w:val="216"/>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10-Jun-2026</w:t>
            </w:r>
          </w:p>
        </w:tc>
        <w:tc>
          <w:tcPr>
            <w:tcW w:w="1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NASDAQ</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61,866</w:t>
            </w:r>
          </w:p>
        </w:tc>
        <w:tc>
          <w:tcPr>
            <w:tcW w:w="1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71,388</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11-Jun-2026</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NASDAQ</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94,430</w:t>
            </w:r>
          </w:p>
        </w:tc>
        <w:tc>
          <w:tcPr>
            <w:tcW w:w="1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108,944</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r>
      <w:tr>
        <w:trPr>
          <w:trHeight w:val="230"/>
        </w:trPr>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12-Jun-2026</w:t>
            </w:r>
          </w:p>
        </w:tc>
        <w:tc>
          <w:tcPr>
            <w:tcW w:w="1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NASDAQ</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63,293</w:t>
            </w:r>
          </w:p>
        </w:tc>
        <w:tc>
          <w:tcPr>
            <w:tcW w:w="1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73,211</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shd w:val="clear" w:color="auto" w:fill="CCEEFF"/>
          </w:tcPr>
          <w:p>
            <w:pPr>
              <w:spacing w:after="0"/>
              <w:rPr>
                <w:sz w:val="19"/>
                <w:szCs w:val="19"/>
                <w:color w:val="auto"/>
              </w:rPr>
            </w:pPr>
          </w:p>
        </w:tc>
      </w:tr>
      <w:tr>
        <w:trPr>
          <w:trHeight w:val="223"/>
        </w:trPr>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of the week</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64,272</w:t>
            </w: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366,971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423,972</w:t>
            </w:r>
          </w:p>
        </w:tc>
        <w:tc>
          <w:tcPr>
            <w:tcW w:w="22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951,712 shares for a total amount of 4,511,622 EUR (5,290,396 USD) under the share buy-back program. This corresponds to 1.6%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951,712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5454650</wp:posOffset>
            </wp:positionH>
            <wp:positionV relativeFrom="page">
              <wp:posOffset>586105</wp:posOffset>
            </wp:positionV>
            <wp:extent cx="1885950" cy="754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859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2026-06-15T15:02:55Z</dcterms:created>
  <dcterms:modified xsi:type="dcterms:W3CDTF">2026-06-15T15:02:55Z</dcterms:modified>
</cp:coreProperties>
</file>