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1288d1_6k.htm"/>
      <w:bookmarkStart w:id="1" w:name="kstm2621288d1_6k"/>
      <w:bookmarkEnd w:id="0"/>
      <w:bookmarkEnd w:id="1"/>
      <w:r>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UNITED STATES</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val="false"/>
          <w:i w:val="false"/>
          <w:caps w:val="false"/>
          <w:smallCaps w:val="false"/>
          <w:sz w:val="36"/>
        </w:rPr>
      </w:pPr>
      <w:r>
        <w:rPr>
          <w:rFonts w:ascii="Times New Roman;Times;Serif" w:hAnsi="Times New Roman;Times;Serif"/>
          <w:b/>
          <w:i w:val="false"/>
          <w:caps w:val="false"/>
          <w:smallCaps w:val="false"/>
          <w:sz w:val="36"/>
        </w:rPr>
        <w:t>SECURITIES AND EXCHANGE COMMISSION</w:t>
      </w:r>
      <w:r>
        <w:rPr>
          <w:rFonts w:ascii="Times New Roman;Times;Serif" w:hAnsi="Times New Roman;Times;Serif"/>
          <w:b w:val="false"/>
          <w:i w:val="false"/>
          <w:caps w:val="false"/>
          <w:smallCaps w:val="false"/>
          <w:sz w:val="36"/>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REPORT OF FOREIGN PRIVATE ISSUER</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PURSUANT TO RULE 13a-16 OR 15d-16</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001-36515</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Materialise NV</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Technologielaan 15</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3001 Leuven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Belgium</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pBdr>
          <w:top w:val="single" w:sz="8" w:space="1" w:color="000000"/>
        </w:pBd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Attached as Exhibit 99.1 hereto is a copy of a press release regarding Materialise NV’s ADS Buyback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4090" w:type="dxa"/>
        <w:jc w:val="left"/>
        <w:tblInd w:w="0" w:type="dxa"/>
        <w:tblLayout w:type="fixed"/>
        <w:tblCellMar>
          <w:top w:w="0" w:type="dxa"/>
          <w:left w:w="0" w:type="dxa"/>
          <w:bottom w:w="0" w:type="dxa"/>
          <w:right w:w="0" w:type="dxa"/>
        </w:tblCellMar>
      </w:tblPr>
      <w:tblGrid>
        <w:gridCol w:w="785"/>
        <w:gridCol w:w="60"/>
        <w:gridCol w:w="3245"/>
      </w:tblGrid>
      <w:tr>
        <w:trPr/>
        <w:tc>
          <w:tcPr>
            <w:tcW w:w="78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Exhibit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Description</w:t>
            </w:r>
          </w:p>
        </w:tc>
      </w:tr>
      <w:tr>
        <w:trPr/>
        <w:tc>
          <w:tcPr>
            <w:tcW w:w="7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r>
              <w:rPr/>
              <w:t> </w:t>
            </w:r>
          </w:p>
        </w:tc>
      </w:tr>
      <w:tr>
        <w:trPr/>
        <w:tc>
          <w:tcPr>
            <w:tcW w:w="785" w:type="dxa"/>
            <w:tcBorders/>
            <w:vAlign w:val="center"/>
          </w:tcPr>
          <w:p>
            <w:pPr>
              <w:pStyle w:val="TableContents"/>
              <w:bidi w:val="0"/>
              <w:spacing w:before="0" w:after="283"/>
              <w:jc w:val="left"/>
              <w:rPr/>
            </w:pPr>
            <w:hyperlink w:anchor="tm2621288d1_ex99-1.htm">
              <w:r>
                <w:rPr>
                  <w:rStyle w:val="InternetLink"/>
                  <w:rFonts w:ascii="Times New Roman;Times;Serif" w:hAnsi="Times New Roman;Times;Serif"/>
                </w:rPr>
                <w:t>99.1</w:t>
              </w:r>
            </w:hyperlink>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283"/>
              <w:jc w:val="left"/>
              <w:rPr/>
            </w:pPr>
            <w:hyperlink w:anchor="tm2621288d1_ex99-1.htm">
              <w:r>
                <w:rPr>
                  <w:rStyle w:val="InternetLink"/>
                  <w:rFonts w:ascii="Times New Roman;Times;Serif" w:hAnsi="Times New Roman;Times;Serif"/>
                </w:rPr>
                <w:t>Press Release dated July 27, 2026</w:t>
              </w:r>
            </w:hyperlink>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3250" w:type="dxa"/>
        <w:jc w:val="left"/>
        <w:tblInd w:w="0" w:type="dxa"/>
        <w:tblLayout w:type="fixed"/>
        <w:tblCellMar>
          <w:top w:w="0" w:type="dxa"/>
          <w:left w:w="0" w:type="dxa"/>
          <w:bottom w:w="0" w:type="dxa"/>
          <w:right w:w="0" w:type="dxa"/>
        </w:tblCellMar>
      </w:tblPr>
      <w:tblGrid>
        <w:gridCol w:w="665"/>
        <w:gridCol w:w="2510"/>
        <w:gridCol w:w="75"/>
      </w:tblGrid>
      <w:tr>
        <w:trPr/>
        <w:tc>
          <w:tcPr>
            <w:tcW w:w="3175" w:type="dxa"/>
            <w:gridSpan w:val="2"/>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MATERIALISE NV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25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Brigitte de Vet-Veithen</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De Vet Management BV</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2510"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0" w:after="0"/>
        <w:ind w:left="0" w:right="0" w:hanging="0"/>
        <w:jc w:val="both"/>
        <w:rPr>
          <w:caps w:val="false"/>
          <w:smallCaps w:val="false"/>
        </w:rPr>
      </w:pPr>
      <w:bookmarkStart w:id="2" w:name="tm2621288d1_ex99-1.htm"/>
      <w:bookmarkStart w:id="3" w:name="kstm2621288d1_ex991"/>
      <w:bookmarkEnd w:id="2"/>
      <w:bookmarkEnd w:id="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419350" cy="1000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19350" cy="1000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MATERIALISE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SHARE-BUY BACK PROGRAM</w:t>
      </w:r>
    </w:p>
    <w:p>
      <w:pPr>
        <w:pStyle w:val="TextBody"/>
        <w:bidi w:val="0"/>
        <w:spacing w:before="0" w:after="0"/>
        <w:ind w:left="0" w:right="0" w:hanging="0"/>
        <w:jc w:val="both"/>
        <w:rPr>
          <w:caps w:val="false"/>
          <w:smallCaps w:val="false"/>
        </w:rPr>
      </w:pPr>
      <w:r>
        <w:rPr>
          <w:caps w:val="false"/>
          <w:smallCaps w:val="false"/>
        </w:rPr>
        <w:t> </w:t>
      </w:r>
    </w:p>
    <w:tbl>
      <w:tblPr>
        <w:tblW w:w="5140" w:type="dxa"/>
        <w:jc w:val="left"/>
        <w:tblInd w:w="0" w:type="dxa"/>
        <w:tblLayout w:type="fixed"/>
        <w:tblCellMar>
          <w:top w:w="0" w:type="dxa"/>
          <w:left w:w="0" w:type="dxa"/>
          <w:bottom w:w="0" w:type="dxa"/>
          <w:right w:w="0" w:type="dxa"/>
        </w:tblCellMar>
      </w:tblPr>
      <w:tblGrid>
        <w:gridCol w:w="3110"/>
        <w:gridCol w:w="2030"/>
      </w:tblGrid>
      <w:tr>
        <w:trPr/>
        <w:tc>
          <w:tcPr>
            <w:tcW w:w="311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Leuven – 27 July 2026 – 22h00 CET</w:t>
            </w:r>
          </w:p>
        </w:tc>
        <w:tc>
          <w:tcPr>
            <w:tcW w:w="2030" w:type="dxa"/>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Regulated information</w:t>
            </w:r>
            <w:r>
              <w:rPr>
                <w:rFonts w:ascii="Times New Roman;Times;Serif" w:hAnsi="Times New Roman;Times;Serif"/>
                <w:b/>
                <w:position w:val="7"/>
                <w:sz w:val="16"/>
                <w:sz w:val="20"/>
              </w:rPr>
              <w:t>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on the progress of its share buy-back program announced on 30 October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27 July 2026</w:t>
      </w:r>
      <w:r>
        <w:rPr>
          <w:rFonts w:ascii="Times New Roman;Times;Serif" w:hAnsi="Times New Roman;Times;Serif"/>
          <w:b w:val="false"/>
          <w:i w:val="false"/>
          <w:caps w:val="false"/>
          <w:smallCaps w:val="false"/>
          <w:sz w:val="20"/>
        </w:rPr>
        <w:t xml:space="preserve"> – Materialise NV (Euronext: MTLS) (Nasdaq: MTLS) (“Materialise”) (“the Company”) hereby discloses certain information in relation to its share buyback program announced on 30 October 2025, in accordance with Article 8:4 of the Royal Decree of 29 April 2019 implementing the Belgian Code on Companies and Associations. Under this program, Materialise has granted a discretionary mandate to an independent financial intermediary to repurchase Materialise shares for an amount of up to EUR 30 million.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1"/>
        <w:gridCol w:w="318"/>
        <w:gridCol w:w="9796"/>
      </w:tblGrid>
      <w:tr>
        <w:trPr/>
        <w:tc>
          <w:tcPr>
            <w:tcW w:w="91" w:type="dxa"/>
            <w:tcBorders/>
            <w:vAlign w:val="center"/>
          </w:tcPr>
          <w:p>
            <w:pPr>
              <w:pStyle w:val="TableContents"/>
              <w:bidi w:val="0"/>
              <w:spacing w:before="0" w:after="283"/>
              <w:jc w:val="left"/>
              <w:rPr/>
            </w:pPr>
            <w:r>
              <w:rPr/>
              <w:t> </w:t>
            </w:r>
          </w:p>
        </w:tc>
        <w:tc>
          <w:tcPr>
            <w:tcW w:w="318" w:type="dxa"/>
            <w:tcBorders/>
            <w:vAlign w:val="center"/>
          </w:tcPr>
          <w:p>
            <w:pPr>
              <w:pStyle w:val="TableContents"/>
              <w:bidi w:val="0"/>
              <w:spacing w:before="0" w:after="283"/>
              <w:jc w:val="left"/>
              <w:rPr>
                <w:b/>
              </w:rPr>
            </w:pPr>
            <w:r>
              <w:rPr>
                <w:b/>
              </w:rPr>
              <w:t>A.</w:t>
            </w:r>
          </w:p>
        </w:tc>
        <w:tc>
          <w:tcPr>
            <w:tcW w:w="9796" w:type="dxa"/>
            <w:tcBorders/>
            <w:vAlign w:val="center"/>
          </w:tcPr>
          <w:p>
            <w:pPr>
              <w:pStyle w:val="TableContents"/>
              <w:bidi w:val="0"/>
              <w:spacing w:before="0" w:after="283"/>
              <w:jc w:val="both"/>
              <w:rPr>
                <w:b/>
              </w:rPr>
            </w:pPr>
            <w:r>
              <w:rPr>
                <w:b/>
              </w:rPr>
              <w:t>Purchase of shares in the period from 20 July up to and including 24 July 2026</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reports the purchase of 48,806 Materialise shares in the period from 20 July 2026 up to and including 24 July 2026. The shares were repurchased at an average price of 5.75 EUR per share for a total consideration of 280,703 EUR.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48,806 shares were repurchased through the central order book of the following exchanges:</w:t>
      </w:r>
    </w:p>
    <w:p>
      <w:pPr>
        <w:pStyle w:val="TextBody"/>
        <w:bidi w:val="0"/>
        <w:spacing w:before="0" w:after="0"/>
        <w:ind w:left="0" w:right="0" w:hanging="0"/>
        <w:jc w:val="left"/>
        <w:rPr>
          <w:caps w:val="false"/>
          <w:smallCaps w:val="false"/>
        </w:rPr>
      </w:pPr>
      <w:r>
        <w:rPr>
          <w:caps w:val="false"/>
          <w:smallCaps w:val="false"/>
        </w:rPr>
        <w:t> </w:t>
      </w:r>
    </w:p>
    <w:tbl>
      <w:tblPr>
        <w:tblW w:w="6343" w:type="dxa"/>
        <w:jc w:val="left"/>
        <w:tblInd w:w="0" w:type="dxa"/>
        <w:tblLayout w:type="fixed"/>
        <w:tblCellMar>
          <w:top w:w="0" w:type="dxa"/>
          <w:left w:w="0" w:type="dxa"/>
          <w:bottom w:w="28" w:type="dxa"/>
          <w:right w:w="0" w:type="dxa"/>
        </w:tblCellMar>
      </w:tblPr>
      <w:tblGrid>
        <w:gridCol w:w="1475"/>
        <w:gridCol w:w="60"/>
        <w:gridCol w:w="860"/>
        <w:gridCol w:w="60"/>
        <w:gridCol w:w="84"/>
        <w:gridCol w:w="835"/>
        <w:gridCol w:w="60"/>
        <w:gridCol w:w="60"/>
        <w:gridCol w:w="60"/>
        <w:gridCol w:w="695"/>
        <w:gridCol w:w="60"/>
        <w:gridCol w:w="60"/>
        <w:gridCol w:w="60"/>
        <w:gridCol w:w="695"/>
        <w:gridCol w:w="60"/>
        <w:gridCol w:w="60"/>
        <w:gridCol w:w="138"/>
        <w:gridCol w:w="886"/>
        <w:gridCol w:w="75"/>
      </w:tblGrid>
      <w:tr>
        <w:trPr/>
        <w:tc>
          <w:tcPr>
            <w:tcW w:w="147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w:t>
              <w:br/>
              <w:t>repurchase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Exchange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19"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(EUR)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75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br/>
              <w:t>amount</w:t>
              <w:br/>
              <w:t>(USD)</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Average</w:t>
              <w:br/>
              <w:t>price (EUR)</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20-Jul-2026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10,972</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62,317</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71,204</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5.68</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60,306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68,858</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8,121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46,670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53,241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5.75</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23-Jul-2026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FFFF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3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3,435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19,369</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95"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22,065</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86"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5.64</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24-Jul-2026</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60" w:type="dxa"/>
            <w:tcBorders/>
            <w:shd w:fill="CCEEFF" w:val="clear"/>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NASDAQ</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15,978</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92,041</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104,715</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CCEEFF" w:val="cle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5.76</w:t>
            </w:r>
          </w:p>
        </w:tc>
        <w:tc>
          <w:tcPr>
            <w:tcW w:w="75"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75" w:type="dxa"/>
            <w:tcBorders/>
            <w:shd w:fill="FFFFFF" w:val="clear"/>
            <w:tcMar>
              <w:bottom w:w="0" w:type="dxa"/>
            </w:tcMar>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 of the week</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0" w:type="dxa"/>
            <w:tcBorders/>
            <w:shd w:fill="FFFFFF" w:val="clear"/>
            <w:tcMar>
              <w:bottom w:w="0" w:type="dxa"/>
            </w:tcMar>
            <w:vAlign w:val="center"/>
          </w:tcPr>
          <w:p>
            <w:pPr>
              <w:pStyle w:val="TableContents"/>
              <w:bidi w:val="0"/>
              <w:spacing w:before="0" w:after="283"/>
              <w:jc w:val="center"/>
              <w:rPr/>
            </w:pPr>
            <w:r>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4"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3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48,806</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280,703</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95"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320,082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8" w:type="dxa"/>
            <w:tcBorders>
              <w:bottom w:val="single" w:sz="8" w:space="0" w:color="000000"/>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886" w:type="dxa"/>
            <w:tcBorders>
              <w:bottom w:val="single" w:sz="8" w:space="0" w:color="000000"/>
            </w:tcBorders>
            <w:shd w:fill="FFFFFF" w:val="clear"/>
            <w:vAlign w:val="center"/>
          </w:tcPr>
          <w:p>
            <w:pPr>
              <w:pStyle w:val="TableContents"/>
              <w:bidi w:val="0"/>
              <w:spacing w:before="0" w:after="283"/>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5.75</w:t>
            </w:r>
          </w:p>
        </w:tc>
        <w:tc>
          <w:tcPr>
            <w:tcW w:w="75"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shares were repurchased through cross trades or block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the start of the share buy-back program on the 26</w:t>
      </w:r>
      <w:r>
        <w:rPr>
          <w:rFonts w:ascii="Times New Roman;Times;Serif" w:hAnsi="Times New Roman;Times;Serif"/>
          <w:b w:val="false"/>
          <w:i w:val="false"/>
          <w:caps w:val="false"/>
          <w:smallCaps w:val="false"/>
          <w:position w:val="7"/>
          <w:sz w:val="16"/>
          <w:sz w:val="20"/>
        </w:rPr>
        <w:t>th</w:t>
      </w:r>
      <w:r>
        <w:rPr>
          <w:rFonts w:ascii="Times New Roman;Times;Serif" w:hAnsi="Times New Roman;Times;Serif"/>
          <w:b w:val="false"/>
          <w:i w:val="false"/>
          <w:caps w:val="false"/>
          <w:smallCaps w:val="false"/>
          <w:sz w:val="20"/>
        </w:rPr>
        <w:t xml:space="preserve"> of January 2026, Materialise has bought back 1,206,380 shares for a total amount of 6,013,083 EUR (7,006,543 USD) under the share buy-back program. This corresponds to 2.0% of the total shares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currently holds 1,206,380 of its own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overview relating to the share buy-back program is available on </w:t>
      </w:r>
      <w:r>
        <w:rPr>
          <w:rFonts w:ascii="Times New Roman;Times;Serif" w:hAnsi="Times New Roman;Times;Serif"/>
          <w:b w:val="false"/>
          <w:i w:val="false"/>
          <w:caps w:val="false"/>
          <w:smallCaps w:val="false"/>
          <w:sz w:val="20"/>
          <w:u w:val="single"/>
        </w:rPr>
        <w:t>https://investors.materialise.com/</w:t>
      </w:r>
      <w:r>
        <w:rPr>
          <w:rFonts w:ascii="Times New Roman;Times;Serif" w:hAnsi="Times New Roman;Times;Serif"/>
          <w:b w:val="false"/>
          <w:i w:val="false"/>
          <w:caps w:val="false"/>
          <w:smallCaps w:val="false"/>
          <w:sz w:val="20"/>
        </w:rPr>
        <w:t xml:space="preserve"> and is updated on a weekly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60" w:after="6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position w:val="8"/>
                <w:sz w:val="19"/>
              </w:rPr>
            </w:pPr>
            <w:r>
              <w:rPr>
                <w:position w:val="8"/>
                <w:sz w:val="19"/>
              </w:rPr>
              <w:t>1</w:t>
            </w:r>
          </w:p>
        </w:tc>
        <w:tc>
          <w:tcPr>
            <w:tcW w:w="10065" w:type="dxa"/>
            <w:tcBorders/>
            <w:vAlign w:val="center"/>
          </w:tcPr>
          <w:p>
            <w:pPr>
              <w:pStyle w:val="TableContents"/>
              <w:bidi w:val="0"/>
              <w:spacing w:before="0" w:after="283"/>
              <w:jc w:val="both"/>
              <w:rPr/>
            </w:pPr>
            <w:r>
              <w:rPr/>
              <w:t>The enclosed information constitutes regulated information as defined in the Belgian Royal Decree of 14 November 2007 regarding the duties of issuers of financial instruments which have been admitted for trading on a regulated market.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drawing>
          <wp:inline distT="0" distB="0" distL="0" distR="0">
            <wp:extent cx="24193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419350" cy="1000125"/>
                    </a:xfrm>
                    <a:prstGeom prst="rect">
                      <a:avLst/>
                    </a:prstGeom>
                  </pic:spPr>
                </pic:pic>
              </a:graphicData>
            </a:graphic>
          </wp:inline>
        </w:drawing>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64"/>
        <w:gridCol w:w="538"/>
        <w:gridCol w:w="9503"/>
      </w:tblGrid>
      <w:tr>
        <w:trPr/>
        <w:tc>
          <w:tcPr>
            <w:tcW w:w="164" w:type="dxa"/>
            <w:tcBorders/>
            <w:vAlign w:val="center"/>
          </w:tcPr>
          <w:p>
            <w:pPr>
              <w:pStyle w:val="TableContents"/>
              <w:bidi w:val="0"/>
              <w:spacing w:before="0" w:after="283"/>
              <w:jc w:val="left"/>
              <w:rPr/>
            </w:pPr>
            <w:r>
              <w:rPr/>
              <w:t> </w:t>
            </w:r>
          </w:p>
        </w:tc>
        <w:tc>
          <w:tcPr>
            <w:tcW w:w="538" w:type="dxa"/>
            <w:tcBorders/>
            <w:vAlign w:val="center"/>
          </w:tcPr>
          <w:p>
            <w:pPr>
              <w:pStyle w:val="TableContents"/>
              <w:bidi w:val="0"/>
              <w:spacing w:before="0" w:after="283"/>
              <w:jc w:val="left"/>
              <w:rPr>
                <w:b/>
              </w:rPr>
            </w:pPr>
            <w:r>
              <w:rPr>
                <w:b/>
              </w:rPr>
              <w:t>B.</w:t>
            </w:r>
          </w:p>
        </w:tc>
        <w:tc>
          <w:tcPr>
            <w:tcW w:w="9503" w:type="dxa"/>
            <w:tcBorders/>
            <w:vAlign w:val="center"/>
          </w:tcPr>
          <w:p>
            <w:pPr>
              <w:pStyle w:val="TableContents"/>
              <w:bidi w:val="0"/>
              <w:spacing w:before="0" w:after="283"/>
              <w:jc w:val="both"/>
              <w:rPr>
                <w:b/>
              </w:rPr>
            </w:pPr>
            <w:r>
              <w:rPr>
                <w:b/>
              </w:rPr>
              <w:t>Suspension of the share buyback program</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today announces that the program is suspended following trading on 25 July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suspension is required because the authorization underlying the program cannot be renewed during the applicable closed period. As a result, the Company will not conduct any share repurchases during this suspension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renewal of the authorization and compliance with all applicable legal and regulatory requirements, the Company currently intends to restart the share buyback program on 31 August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issue a further press release to confirm the restart of the program once the relevant conditions have been satisfied and share repurchases effectively recommence.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announcement does not constitute an obligation to resume the share buyback program on any particular date. Any restart of the program will remain subject to the necessary corporate approvals, market conditions and applicable legal and regulatory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Materialise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Materialise incorporates more than three decades of 3D printing experience into a range of software solutions and 3D printing services that empower sustainable 3D printing applications. Our open, secure, and flexible end-to-end solutions enable industrial manufacturing and mass personalization in various industries — including healthcare, automotive, aerospace, eyewear, art and design, wearables, and consumer goods. Headquartered in Belgium and with branches worldwide, Materialise combines the largest group of software developers in the industry with one of the world's largest and most complete 3D printing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743</Words>
  <Characters>4177</Characters>
  <CharactersWithSpaces>5014</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